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before="0" w:beforeAutospacing="0" w:after="0" w:afterAutospacing="0" w:line="276" w:lineRule="auto"/>
        <w:ind w:firstLine="643" w:firstLineChars="200"/>
        <w:jc w:val="center"/>
        <w:outlineLvl w:val="0"/>
        <w:rPr>
          <w:rFonts w:hint="eastAsia"/>
          <w:b/>
          <w:color w:val="000000"/>
          <w:sz w:val="32"/>
          <w:szCs w:val="32"/>
          <w:lang w:eastAsia="zh-CN"/>
        </w:rPr>
      </w:pPr>
      <w:r>
        <w:rPr>
          <w:rFonts w:hint="eastAsia"/>
          <w:b/>
          <w:color w:val="000000"/>
          <w:sz w:val="32"/>
          <w:szCs w:val="32"/>
          <w:lang w:eastAsia="zh-CN"/>
        </w:rPr>
        <w:t>无锡嘉汉机械有限公司</w:t>
      </w:r>
    </w:p>
    <w:p>
      <w:pPr>
        <w:pStyle w:val="20"/>
        <w:spacing w:before="0" w:beforeAutospacing="0" w:after="0" w:afterAutospacing="0" w:line="276" w:lineRule="auto"/>
        <w:ind w:firstLine="643" w:firstLineChars="200"/>
        <w:jc w:val="center"/>
        <w:outlineLvl w:val="0"/>
        <w:rPr>
          <w:b/>
          <w:color w:val="000000"/>
          <w:sz w:val="32"/>
          <w:szCs w:val="32"/>
        </w:rPr>
      </w:pPr>
      <w:r>
        <w:rPr>
          <w:rFonts w:hint="eastAsia"/>
          <w:b/>
          <w:color w:val="000000"/>
          <w:sz w:val="32"/>
          <w:szCs w:val="32"/>
          <w:lang w:eastAsia="zh-CN"/>
        </w:rPr>
        <w:t>石油钻采专用设备及配件、其他专用设备及配件、通</w:t>
      </w:r>
      <w:r>
        <w:rPr>
          <w:rFonts w:hint="eastAsia"/>
          <w:b/>
          <w:color w:val="000000"/>
          <w:sz w:val="32"/>
          <w:szCs w:val="32"/>
          <w:lang w:val="en-US" w:eastAsia="zh-CN"/>
        </w:rPr>
        <w:t xml:space="preserve">  </w:t>
      </w:r>
      <w:r>
        <w:rPr>
          <w:rFonts w:hint="eastAsia"/>
          <w:b/>
          <w:color w:val="000000"/>
          <w:sz w:val="32"/>
          <w:szCs w:val="32"/>
          <w:lang w:eastAsia="zh-CN"/>
        </w:rPr>
        <w:t>用设备机配件制造、加工项目</w:t>
      </w:r>
      <w:r>
        <w:rPr>
          <w:rFonts w:hint="eastAsia"/>
          <w:b/>
          <w:color w:val="000000"/>
          <w:sz w:val="32"/>
          <w:szCs w:val="32"/>
        </w:rPr>
        <w:t>竣工环境保护</w:t>
      </w:r>
      <w:r>
        <w:rPr>
          <w:b/>
          <w:color w:val="000000"/>
          <w:sz w:val="32"/>
          <w:szCs w:val="32"/>
        </w:rPr>
        <w:t>验收</w:t>
      </w:r>
      <w:r>
        <w:rPr>
          <w:rFonts w:hint="eastAsia"/>
          <w:b/>
          <w:color w:val="000000"/>
          <w:sz w:val="32"/>
          <w:szCs w:val="32"/>
        </w:rPr>
        <w:t>意见</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20</w:t>
      </w:r>
      <w:r>
        <w:rPr>
          <w:rFonts w:hint="eastAsia"/>
          <w:color w:val="000000"/>
          <w:sz w:val="21"/>
          <w:szCs w:val="21"/>
          <w:lang w:val="en-US" w:eastAsia="zh-CN"/>
        </w:rPr>
        <w:t>20</w:t>
      </w:r>
      <w:r>
        <w:rPr>
          <w:rFonts w:hint="eastAsia"/>
          <w:color w:val="000000"/>
          <w:sz w:val="21"/>
          <w:szCs w:val="21"/>
        </w:rPr>
        <w:t>年</w:t>
      </w:r>
      <w:r>
        <w:rPr>
          <w:rFonts w:hint="eastAsia"/>
          <w:color w:val="000000"/>
          <w:sz w:val="21"/>
          <w:szCs w:val="21"/>
          <w:lang w:val="en-US" w:eastAsia="zh-CN"/>
        </w:rPr>
        <w:t>4</w:t>
      </w:r>
      <w:r>
        <w:rPr>
          <w:rFonts w:hint="eastAsia"/>
          <w:color w:val="000000"/>
          <w:sz w:val="21"/>
          <w:szCs w:val="21"/>
        </w:rPr>
        <w:t>月</w:t>
      </w:r>
      <w:r>
        <w:rPr>
          <w:rFonts w:hint="eastAsia"/>
          <w:color w:val="000000"/>
          <w:sz w:val="21"/>
          <w:szCs w:val="21"/>
          <w:lang w:val="en-US" w:eastAsia="zh-CN"/>
        </w:rPr>
        <w:t>24</w:t>
      </w:r>
      <w:r>
        <w:rPr>
          <w:rFonts w:hint="eastAsia"/>
          <w:color w:val="000000"/>
          <w:sz w:val="21"/>
          <w:szCs w:val="21"/>
        </w:rPr>
        <w:t>日</w:t>
      </w:r>
      <w:r>
        <w:rPr>
          <w:color w:val="000000"/>
          <w:sz w:val="21"/>
          <w:szCs w:val="21"/>
        </w:rPr>
        <w:t>，</w:t>
      </w:r>
      <w:r>
        <w:rPr>
          <w:rFonts w:hint="eastAsia"/>
          <w:color w:val="000000"/>
          <w:sz w:val="21"/>
          <w:szCs w:val="21"/>
          <w:lang w:eastAsia="zh-CN"/>
        </w:rPr>
        <w:t>无锡嘉汉机械有限公司</w:t>
      </w:r>
      <w:r>
        <w:rPr>
          <w:rFonts w:hint="eastAsia"/>
          <w:color w:val="000000"/>
          <w:sz w:val="21"/>
          <w:szCs w:val="21"/>
        </w:rPr>
        <w:t>根据</w:t>
      </w:r>
      <w:r>
        <w:rPr>
          <w:rFonts w:hint="eastAsia"/>
          <w:color w:val="000000"/>
          <w:sz w:val="21"/>
          <w:szCs w:val="21"/>
          <w:lang w:eastAsia="zh-CN"/>
        </w:rPr>
        <w:t>石油钻采专用设备及配件、其他专用设备及配件、通用设备机配件制造、加工项目</w:t>
      </w:r>
      <w:r>
        <w:rPr>
          <w:color w:val="000000"/>
          <w:sz w:val="21"/>
          <w:szCs w:val="21"/>
        </w:rPr>
        <w:t>竣工环境保护</w:t>
      </w:r>
      <w:r>
        <w:rPr>
          <w:rFonts w:hint="eastAsia"/>
          <w:color w:val="000000"/>
          <w:sz w:val="21"/>
          <w:szCs w:val="21"/>
        </w:rPr>
        <w:t xml:space="preserve">验收监测报告（表）并对照《建设项目竣工环境保护验收暂行办法》，严格依照国家有关法律法规、建设项目竣工环境保护验收技术规范/指南、本项目环境影响评价报告书（表）和审批部门审批决定等要求对本项目进行验收，提出意见如下： </w:t>
      </w:r>
    </w:p>
    <w:p>
      <w:pPr>
        <w:pStyle w:val="21"/>
        <w:spacing w:line="360" w:lineRule="auto"/>
        <w:ind w:firstLine="422" w:firstLineChars="200"/>
        <w:rPr>
          <w:rFonts w:hAnsi="宋体"/>
          <w:b/>
          <w:sz w:val="21"/>
          <w:szCs w:val="21"/>
        </w:rPr>
      </w:pPr>
      <w:r>
        <w:rPr>
          <w:rFonts w:hint="eastAsia" w:hAnsi="宋体"/>
          <w:b/>
          <w:sz w:val="21"/>
          <w:szCs w:val="21"/>
        </w:rPr>
        <w:t>一、工程建设基本情况</w:t>
      </w:r>
    </w:p>
    <w:p>
      <w:pPr>
        <w:pStyle w:val="21"/>
        <w:spacing w:line="360" w:lineRule="auto"/>
        <w:ind w:firstLine="420" w:firstLineChars="200"/>
        <w:rPr>
          <w:rFonts w:hAnsi="宋体"/>
          <w:sz w:val="21"/>
          <w:szCs w:val="21"/>
        </w:rPr>
      </w:pPr>
      <w:r>
        <w:rPr>
          <w:rFonts w:hint="eastAsia" w:hAnsi="宋体"/>
          <w:sz w:val="21"/>
          <w:szCs w:val="21"/>
        </w:rPr>
        <w:t>（一）建设地点、规模、主要建设内容</w:t>
      </w:r>
    </w:p>
    <w:p>
      <w:pPr>
        <w:pStyle w:val="21"/>
        <w:spacing w:line="360" w:lineRule="auto"/>
        <w:ind w:firstLine="420" w:firstLineChars="200"/>
        <w:rPr>
          <w:rFonts w:hAnsi="宋体"/>
          <w:sz w:val="21"/>
          <w:szCs w:val="21"/>
        </w:rPr>
      </w:pPr>
      <w:r>
        <w:rPr>
          <w:rFonts w:hint="eastAsia" w:hAnsi="宋体"/>
          <w:sz w:val="21"/>
          <w:szCs w:val="21"/>
          <w:lang w:eastAsia="zh-CN"/>
        </w:rPr>
        <w:t>无锡嘉汉机械有限公司</w:t>
      </w:r>
      <w:r>
        <w:rPr>
          <w:rFonts w:hint="eastAsia" w:hAnsi="宋体"/>
          <w:sz w:val="21"/>
          <w:szCs w:val="21"/>
        </w:rPr>
        <w:t>位于无锡市惠山区前洲街道邓巷社区邓北路12号，公司注册成立于</w:t>
      </w:r>
      <w:r>
        <w:rPr>
          <w:rFonts w:hint="eastAsia" w:hAnsi="宋体"/>
          <w:sz w:val="21"/>
          <w:szCs w:val="21"/>
          <w:lang w:val="en-US" w:eastAsia="zh-CN"/>
        </w:rPr>
        <w:t>2015年7月</w:t>
      </w:r>
      <w:r>
        <w:rPr>
          <w:rFonts w:hint="eastAsia" w:hAnsi="宋体"/>
          <w:sz w:val="21"/>
          <w:szCs w:val="21"/>
        </w:rPr>
        <w:t>。公司性质为</w:t>
      </w:r>
      <w:r>
        <w:rPr>
          <w:rFonts w:hint="eastAsia" w:hAnsi="宋体"/>
          <w:sz w:val="21"/>
          <w:szCs w:val="21"/>
          <w:lang w:val="en-US" w:eastAsia="zh-CN"/>
        </w:rPr>
        <w:t>有限责任公司</w:t>
      </w:r>
      <w:r>
        <w:rPr>
          <w:rFonts w:hint="eastAsia" w:hAnsi="宋体"/>
          <w:sz w:val="21"/>
          <w:szCs w:val="21"/>
        </w:rPr>
        <w:t>，公司主要从事轴承座、汽车轮毂、管板、皮带轮、轴、锁圈工具</w:t>
      </w:r>
      <w:r>
        <w:rPr>
          <w:rFonts w:hint="eastAsia"/>
          <w:color w:val="000000"/>
          <w:sz w:val="21"/>
          <w:szCs w:val="21"/>
          <w:lang w:val="en-US" w:eastAsia="zh-CN"/>
        </w:rPr>
        <w:t>的</w:t>
      </w:r>
      <w:r>
        <w:rPr>
          <w:rFonts w:hint="eastAsia" w:hAnsi="宋体"/>
          <w:sz w:val="21"/>
          <w:szCs w:val="21"/>
          <w:lang w:val="en-US" w:eastAsia="zh-CN"/>
        </w:rPr>
        <w:t>生产</w:t>
      </w:r>
      <w:r>
        <w:rPr>
          <w:rFonts w:hint="eastAsia" w:hAnsi="宋体"/>
          <w:sz w:val="21"/>
          <w:szCs w:val="21"/>
        </w:rPr>
        <w:t>，目前已形成年加工轴承座650只、汽车轮毂300只、管板12套、皮带轮30000只、轴1500根、锁圈工具500套的生产规模。公司固定资产</w:t>
      </w:r>
      <w:r>
        <w:rPr>
          <w:rFonts w:hint="eastAsia" w:hAnsi="宋体"/>
          <w:sz w:val="21"/>
          <w:szCs w:val="21"/>
          <w:lang w:val="en-US" w:eastAsia="zh-CN"/>
        </w:rPr>
        <w:t>300</w:t>
      </w:r>
      <w:r>
        <w:rPr>
          <w:rFonts w:hint="eastAsia" w:hAnsi="宋体"/>
          <w:sz w:val="21"/>
          <w:szCs w:val="21"/>
        </w:rPr>
        <w:t>万元，员工</w:t>
      </w:r>
      <w:r>
        <w:rPr>
          <w:rFonts w:hint="eastAsia" w:hAnsi="宋体"/>
          <w:sz w:val="21"/>
          <w:szCs w:val="21"/>
          <w:lang w:val="en-US" w:eastAsia="zh-CN"/>
        </w:rPr>
        <w:t>15</w:t>
      </w:r>
      <w:r>
        <w:rPr>
          <w:rFonts w:hint="eastAsia" w:hAnsi="宋体"/>
          <w:sz w:val="21"/>
          <w:szCs w:val="21"/>
        </w:rPr>
        <w:t>人。</w:t>
      </w:r>
    </w:p>
    <w:p>
      <w:pPr>
        <w:pStyle w:val="21"/>
        <w:spacing w:line="360" w:lineRule="auto"/>
        <w:ind w:firstLine="420" w:firstLineChars="200"/>
        <w:rPr>
          <w:rFonts w:hAnsi="宋体"/>
          <w:sz w:val="21"/>
          <w:szCs w:val="21"/>
        </w:rPr>
      </w:pPr>
      <w:r>
        <w:rPr>
          <w:rFonts w:hint="eastAsia" w:hAnsi="宋体"/>
          <w:sz w:val="21"/>
          <w:szCs w:val="21"/>
        </w:rPr>
        <w:t>（二）建设过程及环保审批情况</w:t>
      </w:r>
    </w:p>
    <w:p>
      <w:pPr>
        <w:pStyle w:val="21"/>
        <w:spacing w:line="360" w:lineRule="auto"/>
        <w:ind w:firstLine="420" w:firstLineChars="200"/>
        <w:rPr>
          <w:rFonts w:hint="eastAsia" w:hAnsi="宋体"/>
          <w:sz w:val="21"/>
          <w:szCs w:val="21"/>
        </w:rPr>
      </w:pPr>
      <w:r>
        <w:rPr>
          <w:rFonts w:hint="eastAsia" w:hAnsi="宋体"/>
          <w:sz w:val="21"/>
          <w:szCs w:val="21"/>
          <w:lang w:eastAsia="zh-CN"/>
        </w:rPr>
        <w:t>无锡嘉汉机械有限公司</w:t>
      </w:r>
      <w:r>
        <w:rPr>
          <w:rFonts w:hint="eastAsia" w:hAnsi="宋体"/>
          <w:sz w:val="21"/>
          <w:szCs w:val="21"/>
        </w:rPr>
        <w:t>租用</w:t>
      </w:r>
      <w:r>
        <w:rPr>
          <w:rFonts w:hint="eastAsia" w:hAnsi="宋体"/>
          <w:sz w:val="21"/>
          <w:szCs w:val="21"/>
          <w:lang w:val="en-US" w:eastAsia="zh-CN"/>
        </w:rPr>
        <w:t>闲置</w:t>
      </w:r>
      <w:r>
        <w:rPr>
          <w:rFonts w:hint="eastAsia" w:hAnsi="宋体"/>
          <w:sz w:val="21"/>
          <w:szCs w:val="21"/>
        </w:rPr>
        <w:t>的厂房从</w:t>
      </w:r>
      <w:r>
        <w:rPr>
          <w:rFonts w:hint="eastAsia" w:hAnsi="宋体"/>
          <w:sz w:val="21"/>
          <w:szCs w:val="21"/>
          <w:lang w:val="en-US" w:eastAsia="zh-CN"/>
        </w:rPr>
        <w:t>事</w:t>
      </w:r>
      <w:r>
        <w:rPr>
          <w:rFonts w:hint="eastAsia" w:hAnsi="宋体"/>
          <w:sz w:val="21"/>
          <w:szCs w:val="21"/>
        </w:rPr>
        <w:t>轴承座、汽车轮毂、管板、皮带轮、轴、锁圈工具的生产。我公司于2020年6月委托无锡新视野环保有限公司编制了《无锡嘉汉机械有限公司石油钻采专用设备及配件、其他专用设备及配件、通用设备机配件制造、加工项目环境影响报告表》，并于2020年7月23日取得了无锡市行政审批局的批复《关于无锡嘉汉机械有限公司石油钻采专用设备及配件、其他专用设备及配件、通用设备机配件制造、加工项目环境影响报告表的批复》（锡行审环许[2020]5190号）。</w:t>
      </w:r>
    </w:p>
    <w:p>
      <w:pPr>
        <w:pStyle w:val="21"/>
        <w:spacing w:line="360" w:lineRule="auto"/>
        <w:ind w:firstLine="420" w:firstLineChars="200"/>
        <w:rPr>
          <w:rFonts w:hAnsi="宋体"/>
          <w:sz w:val="21"/>
          <w:szCs w:val="21"/>
        </w:rPr>
      </w:pPr>
      <w:r>
        <w:rPr>
          <w:rFonts w:hint="eastAsia" w:hAnsi="宋体"/>
          <w:sz w:val="21"/>
          <w:szCs w:val="21"/>
          <w:lang w:eastAsia="zh-CN"/>
        </w:rPr>
        <w:t>无锡嘉汉机械有限公司石油钻采专用设备及配件、其他专用设备及配件、通用设备机配件制造、加工项目</w:t>
      </w:r>
      <w:r>
        <w:rPr>
          <w:rFonts w:hAnsi="宋体"/>
          <w:sz w:val="21"/>
          <w:szCs w:val="21"/>
        </w:rPr>
        <w:t>竣工</w:t>
      </w:r>
      <w:r>
        <w:rPr>
          <w:rFonts w:hint="eastAsia" w:hAnsi="宋体"/>
          <w:sz w:val="21"/>
          <w:szCs w:val="21"/>
        </w:rPr>
        <w:t>时间为20</w:t>
      </w:r>
      <w:r>
        <w:rPr>
          <w:rFonts w:hint="eastAsia" w:hAnsi="宋体"/>
          <w:sz w:val="21"/>
          <w:szCs w:val="21"/>
          <w:lang w:val="en-US" w:eastAsia="zh-CN"/>
        </w:rPr>
        <w:t>20</w:t>
      </w:r>
      <w:r>
        <w:rPr>
          <w:rFonts w:hint="eastAsia" w:hAnsi="宋体"/>
          <w:sz w:val="21"/>
          <w:szCs w:val="21"/>
        </w:rPr>
        <w:t>年</w:t>
      </w:r>
      <w:r>
        <w:rPr>
          <w:rFonts w:hint="eastAsia" w:hAnsi="宋体"/>
          <w:sz w:val="21"/>
          <w:szCs w:val="21"/>
          <w:lang w:val="en-US" w:eastAsia="zh-CN"/>
        </w:rPr>
        <w:t>10</w:t>
      </w:r>
      <w:r>
        <w:rPr>
          <w:rFonts w:hint="eastAsia" w:hAnsi="宋体"/>
          <w:sz w:val="21"/>
          <w:szCs w:val="21"/>
        </w:rPr>
        <w:t>月，开始调试日期为20</w:t>
      </w:r>
      <w:r>
        <w:rPr>
          <w:rFonts w:hint="eastAsia" w:hAnsi="宋体"/>
          <w:sz w:val="21"/>
          <w:szCs w:val="21"/>
          <w:lang w:val="en-US" w:eastAsia="zh-CN"/>
        </w:rPr>
        <w:t>20</w:t>
      </w:r>
      <w:r>
        <w:rPr>
          <w:rFonts w:hint="eastAsia" w:hAnsi="宋体"/>
          <w:sz w:val="21"/>
          <w:szCs w:val="21"/>
        </w:rPr>
        <w:t>年</w:t>
      </w:r>
      <w:r>
        <w:rPr>
          <w:rFonts w:hint="eastAsia" w:hAnsi="宋体"/>
          <w:sz w:val="21"/>
          <w:szCs w:val="21"/>
          <w:lang w:val="en-US" w:eastAsia="zh-CN"/>
        </w:rPr>
        <w:t>12</w:t>
      </w:r>
      <w:r>
        <w:rPr>
          <w:rFonts w:hint="eastAsia" w:hAnsi="宋体"/>
          <w:sz w:val="21"/>
          <w:szCs w:val="21"/>
        </w:rPr>
        <w:t>月。</w:t>
      </w:r>
    </w:p>
    <w:p>
      <w:pPr>
        <w:pStyle w:val="21"/>
        <w:spacing w:line="360" w:lineRule="auto"/>
        <w:ind w:firstLine="420" w:firstLineChars="200"/>
        <w:rPr>
          <w:rFonts w:hAnsi="宋体"/>
          <w:sz w:val="21"/>
          <w:szCs w:val="21"/>
        </w:rPr>
      </w:pPr>
      <w:r>
        <w:rPr>
          <w:rFonts w:hint="eastAsia" w:hAnsi="宋体"/>
          <w:sz w:val="21"/>
          <w:szCs w:val="21"/>
        </w:rPr>
        <w:t>（三）投资情况</w:t>
      </w:r>
    </w:p>
    <w:p>
      <w:pPr>
        <w:pStyle w:val="21"/>
        <w:spacing w:line="360" w:lineRule="auto"/>
        <w:ind w:firstLine="420" w:firstLineChars="200"/>
        <w:rPr>
          <w:sz w:val="21"/>
          <w:szCs w:val="21"/>
        </w:rPr>
      </w:pPr>
      <w:r>
        <w:rPr>
          <w:rFonts w:hint="eastAsia"/>
          <w:sz w:val="21"/>
          <w:szCs w:val="21"/>
        </w:rPr>
        <w:t>总投资和环保投资情况：本项</w:t>
      </w:r>
      <w:r>
        <w:rPr>
          <w:rFonts w:hint="eastAsia" w:hAnsi="宋体"/>
          <w:sz w:val="21"/>
          <w:szCs w:val="21"/>
        </w:rPr>
        <w:t>目总投资</w:t>
      </w:r>
      <w:r>
        <w:rPr>
          <w:rFonts w:hint="eastAsia" w:hAnsi="宋体"/>
          <w:sz w:val="21"/>
          <w:szCs w:val="21"/>
          <w:lang w:val="en-US" w:eastAsia="zh-CN"/>
        </w:rPr>
        <w:t>300</w:t>
      </w:r>
      <w:r>
        <w:rPr>
          <w:rFonts w:hint="eastAsia" w:hAnsi="宋体"/>
          <w:sz w:val="21"/>
          <w:szCs w:val="21"/>
        </w:rPr>
        <w:t>万元，</w:t>
      </w:r>
      <w:r>
        <w:rPr>
          <w:rFonts w:hint="eastAsia"/>
          <w:sz w:val="21"/>
          <w:szCs w:val="21"/>
        </w:rPr>
        <w:t>其中环保投资</w:t>
      </w:r>
      <w:r>
        <w:rPr>
          <w:rFonts w:hint="eastAsia"/>
          <w:sz w:val="21"/>
          <w:szCs w:val="21"/>
          <w:lang w:val="en-US" w:eastAsia="zh-CN"/>
        </w:rPr>
        <w:t>5</w:t>
      </w:r>
      <w:r>
        <w:rPr>
          <w:rFonts w:hint="eastAsia"/>
          <w:sz w:val="21"/>
          <w:szCs w:val="21"/>
        </w:rPr>
        <w:t>万元，占总投资</w:t>
      </w:r>
      <w:r>
        <w:rPr>
          <w:rFonts w:hint="eastAsia"/>
          <w:sz w:val="21"/>
          <w:szCs w:val="21"/>
          <w:lang w:val="en-US" w:eastAsia="zh-CN"/>
        </w:rPr>
        <w:t>的1.67</w:t>
      </w:r>
      <w:r>
        <w:rPr>
          <w:rFonts w:hint="eastAsia"/>
          <w:sz w:val="21"/>
          <w:szCs w:val="21"/>
        </w:rPr>
        <w:t>%。</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（四）验收范围</w:t>
      </w:r>
    </w:p>
    <w:p>
      <w:pPr>
        <w:pStyle w:val="20"/>
        <w:spacing w:before="0" w:beforeAutospacing="0" w:after="0" w:afterAutospacing="0" w:line="360" w:lineRule="auto"/>
        <w:ind w:firstLine="420" w:firstLineChars="200"/>
        <w:jc w:val="both"/>
        <w:outlineLvl w:val="0"/>
        <w:rPr>
          <w:color w:val="000000"/>
          <w:sz w:val="21"/>
          <w:szCs w:val="21"/>
        </w:rPr>
      </w:pPr>
      <w:r>
        <w:rPr>
          <w:rFonts w:hint="eastAsia"/>
          <w:sz w:val="21"/>
          <w:szCs w:val="21"/>
          <w:lang w:eastAsia="zh-CN"/>
        </w:rPr>
        <w:t>无锡嘉汉机械有限公司</w:t>
      </w:r>
      <w:r>
        <w:rPr>
          <w:rFonts w:hint="eastAsia"/>
          <w:color w:val="000000"/>
          <w:sz w:val="21"/>
          <w:szCs w:val="21"/>
          <w:lang w:eastAsia="zh-CN"/>
        </w:rPr>
        <w:t>石油钻采专用设备及配件、其他专用设备及配件、通用设备机配件制造、加工项目</w:t>
      </w:r>
      <w:r>
        <w:rPr>
          <w:color w:val="000000"/>
          <w:sz w:val="21"/>
          <w:szCs w:val="21"/>
        </w:rPr>
        <w:t>各类环保治理设施与主体工程已同步建成并投入运行，运行基本稳定，具备项目竣工验收监测条件，本次验收为整体验收。</w:t>
      </w:r>
    </w:p>
    <w:p>
      <w:pPr>
        <w:pStyle w:val="20"/>
        <w:spacing w:before="0" w:beforeAutospacing="0" w:after="0" w:afterAutospacing="0" w:line="360" w:lineRule="auto"/>
        <w:ind w:firstLine="422" w:firstLineChars="200"/>
        <w:jc w:val="both"/>
        <w:outlineLvl w:val="0"/>
        <w:rPr>
          <w:b/>
          <w:color w:val="000000"/>
          <w:sz w:val="21"/>
          <w:szCs w:val="21"/>
        </w:rPr>
      </w:pPr>
      <w:r>
        <w:rPr>
          <w:rFonts w:hint="eastAsia"/>
          <w:b/>
          <w:color w:val="000000"/>
          <w:sz w:val="21"/>
          <w:szCs w:val="21"/>
        </w:rPr>
        <w:t>二、工程设备变动情况</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本项目生产设备数量及型号未发生</w:t>
      </w:r>
      <w:r>
        <w:rPr>
          <w:rFonts w:hint="eastAsia"/>
          <w:color w:val="000000"/>
          <w:sz w:val="21"/>
          <w:szCs w:val="21"/>
          <w:lang w:val="en-US" w:eastAsia="zh-CN"/>
        </w:rPr>
        <w:t>重大</w:t>
      </w:r>
      <w:r>
        <w:rPr>
          <w:rFonts w:hint="eastAsia"/>
          <w:color w:val="000000"/>
          <w:sz w:val="21"/>
          <w:szCs w:val="21"/>
        </w:rPr>
        <w:t>变化。详见表2-1。</w:t>
      </w:r>
    </w:p>
    <w:p>
      <w:pPr>
        <w:pStyle w:val="20"/>
        <w:spacing w:before="0" w:beforeAutospacing="0" w:after="0" w:afterAutospacing="0" w:line="360" w:lineRule="auto"/>
        <w:ind w:firstLine="420" w:firstLineChars="200"/>
        <w:jc w:val="center"/>
        <w:outlineLvl w:val="0"/>
        <w:rPr>
          <w:color w:val="000000"/>
          <w:sz w:val="21"/>
          <w:szCs w:val="21"/>
        </w:rPr>
      </w:pPr>
      <w:r>
        <w:rPr>
          <w:rFonts w:hint="eastAsia"/>
          <w:color w:val="000000"/>
          <w:sz w:val="21"/>
          <w:szCs w:val="21"/>
        </w:rPr>
        <w:t>表2-1</w:t>
      </w:r>
    </w:p>
    <w:tbl>
      <w:tblPr>
        <w:tblStyle w:val="14"/>
        <w:tblpPr w:leftFromText="180" w:rightFromText="180" w:vertAnchor="text" w:horzAnchor="margin" w:tblpXSpec="center" w:tblpY="18"/>
        <w:tblW w:w="9203"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23"/>
        <w:gridCol w:w="2125"/>
        <w:gridCol w:w="1868"/>
        <w:gridCol w:w="2224"/>
        <w:gridCol w:w="216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Merge w:val="restart"/>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r>
              <w:rPr>
                <w:rFonts w:hint="default" w:ascii="Times New Roman" w:hAnsi="Times New Roman" w:eastAsia="仿宋" w:cs="Times New Roman"/>
                <w:b/>
                <w:kern w:val="2"/>
                <w:sz w:val="21"/>
                <w:szCs w:val="21"/>
              </w:rPr>
              <w:t>序号</w:t>
            </w:r>
          </w:p>
        </w:tc>
        <w:tc>
          <w:tcPr>
            <w:tcW w:w="2125" w:type="dxa"/>
            <w:vMerge w:val="restart"/>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r>
              <w:rPr>
                <w:rFonts w:hint="default" w:ascii="Times New Roman" w:hAnsi="Times New Roman" w:eastAsia="仿宋" w:cs="Times New Roman"/>
                <w:b/>
                <w:kern w:val="2"/>
                <w:sz w:val="21"/>
                <w:szCs w:val="21"/>
              </w:rPr>
              <w:t>名称</w:t>
            </w:r>
          </w:p>
        </w:tc>
        <w:tc>
          <w:tcPr>
            <w:tcW w:w="1868" w:type="dxa"/>
            <w:vMerge w:val="restart"/>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r>
              <w:rPr>
                <w:rFonts w:hint="default" w:ascii="Times New Roman" w:hAnsi="Times New Roman" w:eastAsia="仿宋" w:cs="Times New Roman"/>
                <w:b/>
                <w:kern w:val="2"/>
                <w:sz w:val="21"/>
                <w:szCs w:val="21"/>
              </w:rPr>
              <w:t>规格型号</w:t>
            </w:r>
          </w:p>
        </w:tc>
        <w:tc>
          <w:tcPr>
            <w:tcW w:w="4387" w:type="dxa"/>
            <w:gridSpan w:val="2"/>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r>
              <w:rPr>
                <w:rFonts w:hint="default" w:ascii="Times New Roman" w:hAnsi="Times New Roman" w:eastAsia="仿宋" w:cs="Times New Roman"/>
                <w:b/>
                <w:kern w:val="2"/>
                <w:sz w:val="21"/>
                <w:szCs w:val="21"/>
              </w:rPr>
              <w:t>数量（台）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Merge w:val="continue"/>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p>
        </w:tc>
        <w:tc>
          <w:tcPr>
            <w:tcW w:w="2125" w:type="dxa"/>
            <w:vMerge w:val="continue"/>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p>
        </w:tc>
        <w:tc>
          <w:tcPr>
            <w:tcW w:w="1868" w:type="dxa"/>
            <w:vMerge w:val="continue"/>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p>
        </w:tc>
        <w:tc>
          <w:tcPr>
            <w:tcW w:w="2224" w:type="dxa"/>
            <w:vAlign w:val="center"/>
          </w:tcPr>
          <w:p>
            <w:pPr>
              <w:pStyle w:val="5"/>
              <w:keepNext w:val="0"/>
              <w:keepLines w:val="0"/>
              <w:suppressLineNumbers w:val="0"/>
              <w:spacing w:before="0" w:beforeAutospacing="0" w:afterAutospacing="1" w:line="240" w:lineRule="exact"/>
              <w:ind w:left="0" w:right="0"/>
              <w:jc w:val="center"/>
              <w:rPr>
                <w:rFonts w:hint="default" w:ascii="Times New Roman" w:hAnsi="Times New Roman" w:eastAsia="仿宋"/>
                <w:b/>
                <w:sz w:val="21"/>
                <w:szCs w:val="21"/>
              </w:rPr>
            </w:pPr>
            <w:r>
              <w:rPr>
                <w:rFonts w:hint="default" w:ascii="Times New Roman" w:hAnsi="Times New Roman" w:eastAsia="仿宋"/>
                <w:b/>
                <w:sz w:val="21"/>
                <w:szCs w:val="21"/>
              </w:rPr>
              <w:t>环评中数量（台/套）</w:t>
            </w:r>
          </w:p>
        </w:tc>
        <w:tc>
          <w:tcPr>
            <w:tcW w:w="2163" w:type="dxa"/>
            <w:vAlign w:val="center"/>
          </w:tcPr>
          <w:p>
            <w:pPr>
              <w:keepNext w:val="0"/>
              <w:keepLines w:val="0"/>
              <w:widowControl w:val="0"/>
              <w:suppressLineNumbers w:val="0"/>
              <w:adjustRightInd/>
              <w:snapToGrid/>
              <w:spacing w:before="0" w:beforeAutospacing="0" w:after="0" w:afterAutospacing="0" w:line="240" w:lineRule="exact"/>
              <w:ind w:left="0" w:right="0"/>
              <w:jc w:val="center"/>
              <w:rPr>
                <w:rFonts w:hint="default" w:ascii="Times New Roman" w:hAnsi="Times New Roman" w:eastAsia="仿宋" w:cs="Times New Roman"/>
                <w:b/>
                <w:kern w:val="2"/>
                <w:sz w:val="21"/>
                <w:szCs w:val="21"/>
              </w:rPr>
            </w:pPr>
            <w:r>
              <w:rPr>
                <w:rFonts w:hint="default" w:ascii="Times New Roman" w:hAnsi="Times New Roman" w:eastAsia="仿宋" w:cs="Times New Roman"/>
                <w:b/>
                <w:kern w:val="2"/>
                <w:sz w:val="21"/>
                <w:szCs w:val="21"/>
              </w:rPr>
              <w:t>实际数量（台/套）</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微软雅黑" w:cs="Times New Roman"/>
                <w:kern w:val="0"/>
                <w:sz w:val="21"/>
                <w:szCs w:val="21"/>
                <w:lang w:val="en-US" w:eastAsia="zh-CN" w:bidi="ar"/>
              </w:rPr>
              <w:t>1</w:t>
            </w:r>
          </w:p>
        </w:tc>
        <w:tc>
          <w:tcPr>
            <w:tcW w:w="2125" w:type="dxa"/>
            <w:vAlign w:val="center"/>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eastAsia" w:ascii="仿宋" w:hAnsi="仿宋" w:eastAsia="仿宋" w:cs="仿宋"/>
                <w:kern w:val="2"/>
                <w:sz w:val="21"/>
                <w:szCs w:val="21"/>
                <w:lang w:val="en-US" w:eastAsia="zh-CN" w:bidi="ar"/>
              </w:rPr>
              <w:t>氩弧焊</w:t>
            </w:r>
          </w:p>
        </w:tc>
        <w:tc>
          <w:tcPr>
            <w:tcW w:w="1868" w:type="dxa"/>
            <w:vAlign w:val="center"/>
          </w:tcPr>
          <w:p>
            <w:pPr>
              <w:pStyle w:val="12"/>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宋体" w:cs="Times New Roman"/>
                <w:color w:val="000000"/>
                <w:kern w:val="2"/>
                <w:sz w:val="21"/>
                <w:szCs w:val="21"/>
                <w:lang w:val="en-US" w:eastAsia="zh-CN" w:bidi="ar"/>
              </w:rPr>
              <w:t>WS315</w:t>
            </w:r>
          </w:p>
        </w:tc>
        <w:tc>
          <w:tcPr>
            <w:tcW w:w="2224" w:type="dxa"/>
            <w:vAlign w:val="center"/>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1</w:t>
            </w:r>
          </w:p>
        </w:tc>
        <w:tc>
          <w:tcPr>
            <w:tcW w:w="2163" w:type="dxa"/>
            <w:vAlign w:val="center"/>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微软雅黑" w:cs="Times New Roman"/>
                <w:kern w:val="0"/>
                <w:sz w:val="21"/>
                <w:szCs w:val="21"/>
                <w:lang w:val="en-US" w:eastAsia="zh-CN" w:bidi="ar"/>
              </w:rPr>
              <w:t>2</w:t>
            </w:r>
          </w:p>
        </w:tc>
        <w:tc>
          <w:tcPr>
            <w:tcW w:w="2125" w:type="dxa"/>
            <w:vAlign w:val="top"/>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eastAsia" w:ascii="仿宋" w:hAnsi="仿宋" w:eastAsia="仿宋" w:cs="仿宋"/>
                <w:kern w:val="2"/>
                <w:sz w:val="21"/>
                <w:szCs w:val="21"/>
                <w:lang w:val="en-US" w:eastAsia="zh-CN" w:bidi="ar"/>
              </w:rPr>
              <w:t>锯床</w:t>
            </w:r>
          </w:p>
        </w:tc>
        <w:tc>
          <w:tcPr>
            <w:tcW w:w="1868" w:type="dxa"/>
            <w:vAlign w:val="top"/>
          </w:tcPr>
          <w:p>
            <w:pPr>
              <w:pStyle w:val="12"/>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宋体" w:cs="Times New Roman"/>
                <w:color w:val="000000"/>
                <w:kern w:val="2"/>
                <w:sz w:val="21"/>
                <w:szCs w:val="21"/>
                <w:lang w:val="en-US" w:eastAsia="zh-CN" w:bidi="ar"/>
              </w:rPr>
              <w:t>J4032</w:t>
            </w:r>
          </w:p>
        </w:tc>
        <w:tc>
          <w:tcPr>
            <w:tcW w:w="2224" w:type="dxa"/>
            <w:vAlign w:val="center"/>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1</w:t>
            </w:r>
          </w:p>
        </w:tc>
        <w:tc>
          <w:tcPr>
            <w:tcW w:w="2163" w:type="dxa"/>
            <w:vAlign w:val="center"/>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rPr>
            </w:pPr>
            <w:r>
              <w:rPr>
                <w:rFonts w:hint="default" w:ascii="Times New Roman" w:hAnsi="Times New Roman" w:eastAsia="微软雅黑" w:cs="Times New Roman"/>
                <w:kern w:val="0"/>
                <w:sz w:val="21"/>
                <w:szCs w:val="21"/>
                <w:lang w:val="en-US" w:eastAsia="zh-CN" w:bidi="ar"/>
              </w:rPr>
              <w:t>3</w:t>
            </w:r>
          </w:p>
        </w:tc>
        <w:tc>
          <w:tcPr>
            <w:tcW w:w="2125" w:type="dxa"/>
            <w:vAlign w:val="center"/>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default" w:ascii="Times New Roman" w:hAnsi="Times New Roman" w:eastAsia="仿宋" w:cs="Times New Roman"/>
                <w:kern w:val="2"/>
                <w:sz w:val="21"/>
                <w:szCs w:val="21"/>
              </w:rPr>
            </w:pPr>
            <w:r>
              <w:rPr>
                <w:rFonts w:hint="eastAsia" w:ascii="仿宋" w:hAnsi="仿宋" w:eastAsia="仿宋" w:cs="仿宋"/>
                <w:kern w:val="2"/>
                <w:sz w:val="21"/>
                <w:szCs w:val="21"/>
                <w:lang w:val="en-US" w:eastAsia="zh-CN" w:bidi="ar"/>
              </w:rPr>
              <w:t>平面磨</w:t>
            </w:r>
          </w:p>
        </w:tc>
        <w:tc>
          <w:tcPr>
            <w:tcW w:w="1868" w:type="dxa"/>
            <w:vAlign w:val="center"/>
          </w:tcPr>
          <w:p>
            <w:pPr>
              <w:pStyle w:val="12"/>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rPr>
            </w:pPr>
            <w:r>
              <w:rPr>
                <w:rFonts w:hint="default" w:ascii="Times New Roman" w:hAnsi="Times New Roman" w:eastAsia="宋体" w:cs="Times New Roman"/>
                <w:color w:val="000000"/>
                <w:kern w:val="2"/>
                <w:sz w:val="21"/>
                <w:szCs w:val="21"/>
                <w:lang w:val="en-US" w:eastAsia="zh-CN" w:bidi="ar"/>
              </w:rPr>
              <w:t>M7140</w:t>
            </w:r>
          </w:p>
        </w:tc>
        <w:tc>
          <w:tcPr>
            <w:tcW w:w="2224" w:type="dxa"/>
            <w:vAlign w:val="center"/>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default"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1</w:t>
            </w:r>
          </w:p>
        </w:tc>
        <w:tc>
          <w:tcPr>
            <w:tcW w:w="2163" w:type="dxa"/>
            <w:vAlign w:val="center"/>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default"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宋体"/>
                <w:kern w:val="2"/>
                <w:sz w:val="21"/>
                <w:szCs w:val="21"/>
                <w:lang w:val="en-US" w:eastAsia="zh-CN" w:bidi="ar"/>
              </w:rPr>
            </w:pPr>
            <w:r>
              <w:rPr>
                <w:rFonts w:hint="default" w:ascii="Times New Roman" w:hAnsi="Times New Roman" w:eastAsia="微软雅黑" w:cs="Times New Roman"/>
                <w:kern w:val="0"/>
                <w:sz w:val="21"/>
                <w:szCs w:val="21"/>
                <w:lang w:val="en-US" w:eastAsia="zh-CN" w:bidi="ar"/>
              </w:rPr>
              <w:t>4</w:t>
            </w:r>
          </w:p>
        </w:tc>
        <w:tc>
          <w:tcPr>
            <w:tcW w:w="2125" w:type="dxa"/>
            <w:vAlign w:val="bottom"/>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eastAsia" w:ascii="Times New Roman" w:hAnsi="Times New Roman" w:eastAsia="仿宋" w:cs="仿宋"/>
                <w:kern w:val="2"/>
                <w:sz w:val="21"/>
                <w:szCs w:val="21"/>
                <w:lang w:val="en-US" w:eastAsia="zh-CN" w:bidi="ar"/>
              </w:rPr>
            </w:pPr>
            <w:r>
              <w:rPr>
                <w:rFonts w:hint="eastAsia" w:ascii="仿宋" w:hAnsi="仿宋" w:eastAsia="仿宋" w:cs="仿宋"/>
                <w:kern w:val="2"/>
                <w:sz w:val="21"/>
                <w:szCs w:val="21"/>
                <w:lang w:val="en-US" w:eastAsia="zh-CN" w:bidi="ar"/>
              </w:rPr>
              <w:t>数控车床</w:t>
            </w:r>
          </w:p>
        </w:tc>
        <w:tc>
          <w:tcPr>
            <w:tcW w:w="1868" w:type="dxa"/>
            <w:vAlign w:val="bottom"/>
          </w:tcPr>
          <w:p>
            <w:pPr>
              <w:pStyle w:val="12"/>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微软雅黑" w:cs="Times New Roman"/>
                <w:kern w:val="2"/>
                <w:sz w:val="21"/>
                <w:szCs w:val="21"/>
                <w:lang w:val="en-US" w:eastAsia="zh-CN" w:bidi="ar"/>
              </w:rPr>
            </w:pPr>
            <w:r>
              <w:rPr>
                <w:rFonts w:hint="default" w:ascii="Times New Roman" w:hAnsi="Times New Roman" w:eastAsia="宋体" w:cs="Times New Roman"/>
                <w:color w:val="000000"/>
                <w:kern w:val="2"/>
                <w:sz w:val="21"/>
                <w:szCs w:val="21"/>
                <w:lang w:val="en-US" w:eastAsia="zh-CN" w:bidi="ar"/>
              </w:rPr>
              <w:t>CK6150</w:t>
            </w:r>
          </w:p>
        </w:tc>
        <w:tc>
          <w:tcPr>
            <w:tcW w:w="2224" w:type="dxa"/>
            <w:vAlign w:val="center"/>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default" w:ascii="Times New Roman" w:hAnsi="Times New Roman" w:eastAsia="微软雅黑" w:cs="Times New Roman"/>
                <w:kern w:val="2"/>
                <w:sz w:val="21"/>
                <w:szCs w:val="21"/>
                <w:lang w:val="en-US" w:eastAsia="zh-CN" w:bidi="ar"/>
              </w:rPr>
            </w:pPr>
            <w:r>
              <w:rPr>
                <w:rFonts w:hint="default" w:ascii="Times New Roman" w:hAnsi="Times New Roman" w:eastAsia="仿宋" w:cs="Times New Roman"/>
                <w:kern w:val="2"/>
                <w:sz w:val="21"/>
                <w:szCs w:val="21"/>
                <w:lang w:val="en-US" w:eastAsia="zh-CN" w:bidi="ar"/>
              </w:rPr>
              <w:t>2</w:t>
            </w:r>
          </w:p>
        </w:tc>
        <w:tc>
          <w:tcPr>
            <w:tcW w:w="2163" w:type="dxa"/>
            <w:vAlign w:val="center"/>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default" w:ascii="Times New Roman" w:hAnsi="Times New Roman" w:eastAsia="微软雅黑" w:cs="Times New Roman"/>
                <w:kern w:val="2"/>
                <w:sz w:val="21"/>
                <w:szCs w:val="21"/>
                <w:lang w:val="en-US" w:eastAsia="zh-CN" w:bidi="ar"/>
              </w:rPr>
            </w:pPr>
            <w:r>
              <w:rPr>
                <w:rFonts w:hint="eastAsia" w:ascii="Times New Roman" w:hAnsi="Times New Roman" w:eastAsia="仿宋" w:cs="仿宋"/>
                <w:kern w:val="2"/>
                <w:sz w:val="21"/>
                <w:szCs w:val="21"/>
                <w:lang w:val="en-US" w:eastAsia="zh-CN" w:bidi="ar"/>
              </w:rPr>
              <w:t>未建设</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微软雅黑" w:cs="Times New Roman"/>
                <w:kern w:val="0"/>
                <w:sz w:val="21"/>
                <w:szCs w:val="21"/>
                <w:lang w:val="en-US" w:eastAsia="zh-CN" w:bidi="ar"/>
              </w:rPr>
              <w:t>5</w:t>
            </w:r>
          </w:p>
        </w:tc>
        <w:tc>
          <w:tcPr>
            <w:tcW w:w="2125" w:type="dxa"/>
            <w:vAlign w:val="center"/>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eastAsia" w:ascii="仿宋" w:hAnsi="仿宋" w:eastAsia="仿宋" w:cs="仿宋"/>
                <w:kern w:val="2"/>
                <w:sz w:val="21"/>
                <w:szCs w:val="21"/>
                <w:lang w:val="en-US" w:eastAsia="zh-CN" w:bidi="ar"/>
              </w:rPr>
              <w:t>数控加工中心</w:t>
            </w:r>
          </w:p>
        </w:tc>
        <w:tc>
          <w:tcPr>
            <w:tcW w:w="1868" w:type="dxa"/>
            <w:vAlign w:val="center"/>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2"/>
                <w:sz w:val="21"/>
                <w:szCs w:val="21"/>
                <w:lang w:val="en-US" w:eastAsia="zh-CN" w:bidi="ar"/>
              </w:rPr>
              <w:t>MVC1350/MVC2100/OTM1890</w:t>
            </w:r>
          </w:p>
        </w:tc>
        <w:tc>
          <w:tcPr>
            <w:tcW w:w="2224" w:type="dxa"/>
            <w:vAlign w:val="center"/>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2"/>
                <w:sz w:val="21"/>
                <w:szCs w:val="21"/>
                <w:lang w:val="en-US" w:eastAsia="zh-CN" w:bidi="ar"/>
              </w:rPr>
              <w:t>5</w:t>
            </w:r>
          </w:p>
        </w:tc>
        <w:tc>
          <w:tcPr>
            <w:tcW w:w="2163" w:type="dxa"/>
            <w:vAlign w:val="center"/>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2"/>
                <w:sz w:val="21"/>
                <w:szCs w:val="21"/>
                <w:lang w:val="en-US" w:eastAsia="zh-CN" w:bidi="ar"/>
              </w:rPr>
              <w:t>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微软雅黑" w:cs="Times New Roman"/>
                <w:kern w:val="0"/>
                <w:sz w:val="21"/>
                <w:szCs w:val="21"/>
                <w:lang w:val="en-US" w:eastAsia="zh-CN" w:bidi="ar"/>
              </w:rPr>
              <w:t>6</w:t>
            </w:r>
          </w:p>
        </w:tc>
        <w:tc>
          <w:tcPr>
            <w:tcW w:w="2125" w:type="dxa"/>
            <w:vAlign w:val="center"/>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eastAsia" w:ascii="仿宋" w:hAnsi="仿宋" w:eastAsia="仿宋" w:cs="仿宋"/>
                <w:kern w:val="2"/>
                <w:sz w:val="21"/>
                <w:szCs w:val="21"/>
                <w:lang w:val="en-US" w:eastAsia="zh-CN" w:bidi="ar"/>
              </w:rPr>
              <w:t>外圆磨</w:t>
            </w:r>
          </w:p>
        </w:tc>
        <w:tc>
          <w:tcPr>
            <w:tcW w:w="1868" w:type="dxa"/>
            <w:vAlign w:val="center"/>
          </w:tcPr>
          <w:p>
            <w:pPr>
              <w:pStyle w:val="12"/>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宋体" w:cs="Times New Roman"/>
                <w:color w:val="000000"/>
                <w:kern w:val="2"/>
                <w:sz w:val="21"/>
                <w:szCs w:val="21"/>
                <w:lang w:val="en-US" w:eastAsia="zh-CN" w:bidi="ar"/>
              </w:rPr>
              <w:t>MB1432</w:t>
            </w:r>
          </w:p>
        </w:tc>
        <w:tc>
          <w:tcPr>
            <w:tcW w:w="2224" w:type="dxa"/>
            <w:vAlign w:val="center"/>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2"/>
                <w:sz w:val="21"/>
                <w:szCs w:val="21"/>
                <w:lang w:val="en-US" w:eastAsia="zh-CN" w:bidi="ar"/>
              </w:rPr>
              <w:t>1</w:t>
            </w:r>
          </w:p>
        </w:tc>
        <w:tc>
          <w:tcPr>
            <w:tcW w:w="2163" w:type="dxa"/>
            <w:vAlign w:val="center"/>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2"/>
                <w:sz w:val="21"/>
                <w:szCs w:val="21"/>
                <w:lang w:val="en-US" w:eastAsia="zh-CN" w:bidi="ar"/>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微软雅黑" w:cs="Times New Roman"/>
                <w:kern w:val="0"/>
                <w:sz w:val="21"/>
                <w:szCs w:val="21"/>
                <w:lang w:val="en-US" w:eastAsia="zh-CN" w:bidi="ar"/>
              </w:rPr>
              <w:t>7</w:t>
            </w:r>
          </w:p>
        </w:tc>
        <w:tc>
          <w:tcPr>
            <w:tcW w:w="2125" w:type="dxa"/>
            <w:vAlign w:val="top"/>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eastAsia" w:ascii="仿宋" w:hAnsi="仿宋" w:eastAsia="仿宋" w:cs="仿宋"/>
                <w:kern w:val="2"/>
                <w:sz w:val="21"/>
                <w:szCs w:val="21"/>
                <w:lang w:val="en-US" w:eastAsia="zh-CN" w:bidi="ar"/>
              </w:rPr>
              <w:t>铣床</w:t>
            </w:r>
          </w:p>
        </w:tc>
        <w:tc>
          <w:tcPr>
            <w:tcW w:w="1868" w:type="dxa"/>
            <w:vAlign w:val="top"/>
          </w:tcPr>
          <w:p>
            <w:pPr>
              <w:pStyle w:val="12"/>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宋体" w:cs="Times New Roman"/>
                <w:color w:val="000000"/>
                <w:kern w:val="2"/>
                <w:sz w:val="21"/>
                <w:szCs w:val="21"/>
                <w:lang w:val="en-US" w:eastAsia="zh-CN" w:bidi="ar"/>
              </w:rPr>
              <w:t>/</w:t>
            </w:r>
          </w:p>
        </w:tc>
        <w:tc>
          <w:tcPr>
            <w:tcW w:w="2224" w:type="dxa"/>
            <w:vAlign w:val="center"/>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2"/>
                <w:sz w:val="21"/>
                <w:szCs w:val="21"/>
                <w:lang w:val="en-US" w:eastAsia="zh-CN" w:bidi="ar"/>
              </w:rPr>
              <w:t>4</w:t>
            </w:r>
          </w:p>
        </w:tc>
        <w:tc>
          <w:tcPr>
            <w:tcW w:w="2163" w:type="dxa"/>
            <w:vAlign w:val="center"/>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2"/>
                <w:sz w:val="21"/>
                <w:szCs w:val="21"/>
                <w:lang w:val="en-US" w:eastAsia="zh-CN" w:bidi="ar"/>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微软雅黑" w:cs="Times New Roman"/>
                <w:kern w:val="0"/>
                <w:sz w:val="21"/>
                <w:szCs w:val="21"/>
                <w:lang w:val="en-US" w:eastAsia="zh-CN" w:bidi="ar"/>
              </w:rPr>
              <w:t>8</w:t>
            </w:r>
          </w:p>
        </w:tc>
        <w:tc>
          <w:tcPr>
            <w:tcW w:w="2125" w:type="dxa"/>
            <w:vAlign w:val="top"/>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eastAsia" w:ascii="仿宋" w:hAnsi="仿宋" w:eastAsia="仿宋" w:cs="仿宋"/>
                <w:kern w:val="2"/>
                <w:sz w:val="21"/>
                <w:szCs w:val="21"/>
                <w:lang w:val="en-US" w:eastAsia="zh-CN" w:bidi="ar"/>
              </w:rPr>
              <w:t>液压拉床</w:t>
            </w:r>
          </w:p>
        </w:tc>
        <w:tc>
          <w:tcPr>
            <w:tcW w:w="1868" w:type="dxa"/>
            <w:vAlign w:val="top"/>
          </w:tcPr>
          <w:p>
            <w:pPr>
              <w:pStyle w:val="12"/>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宋体" w:cs="Times New Roman"/>
                <w:color w:val="000000"/>
                <w:kern w:val="2"/>
                <w:sz w:val="21"/>
                <w:szCs w:val="21"/>
                <w:lang w:val="en-US" w:eastAsia="zh-CN" w:bidi="ar"/>
              </w:rPr>
              <w:t>L6110</w:t>
            </w:r>
          </w:p>
        </w:tc>
        <w:tc>
          <w:tcPr>
            <w:tcW w:w="2224" w:type="dxa"/>
            <w:vAlign w:val="center"/>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2"/>
                <w:sz w:val="21"/>
                <w:szCs w:val="21"/>
                <w:lang w:val="en-US" w:eastAsia="zh-CN" w:bidi="ar"/>
              </w:rPr>
              <w:t>1</w:t>
            </w:r>
          </w:p>
        </w:tc>
        <w:tc>
          <w:tcPr>
            <w:tcW w:w="2163" w:type="dxa"/>
            <w:vAlign w:val="center"/>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2"/>
                <w:sz w:val="21"/>
                <w:szCs w:val="21"/>
                <w:lang w:val="en-US" w:eastAsia="zh-CN" w:bidi="ar"/>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微软雅黑" w:cs="Times New Roman"/>
                <w:kern w:val="0"/>
                <w:sz w:val="21"/>
                <w:szCs w:val="21"/>
                <w:lang w:val="en-US" w:eastAsia="zh-CN" w:bidi="ar"/>
              </w:rPr>
              <w:t>9</w:t>
            </w:r>
          </w:p>
        </w:tc>
        <w:tc>
          <w:tcPr>
            <w:tcW w:w="2125" w:type="dxa"/>
            <w:vAlign w:val="top"/>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eastAsia" w:ascii="仿宋" w:hAnsi="仿宋" w:eastAsia="仿宋" w:cs="仿宋"/>
                <w:kern w:val="2"/>
                <w:sz w:val="21"/>
                <w:szCs w:val="21"/>
                <w:lang w:val="en-US" w:eastAsia="zh-CN" w:bidi="ar"/>
              </w:rPr>
              <w:t>摇臂钻床</w:t>
            </w:r>
          </w:p>
        </w:tc>
        <w:tc>
          <w:tcPr>
            <w:tcW w:w="1868" w:type="dxa"/>
            <w:vAlign w:val="top"/>
          </w:tcPr>
          <w:p>
            <w:pPr>
              <w:pStyle w:val="12"/>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宋体" w:cs="Times New Roman"/>
                <w:color w:val="000000"/>
                <w:kern w:val="2"/>
                <w:sz w:val="21"/>
                <w:szCs w:val="21"/>
                <w:lang w:val="en-US" w:eastAsia="zh-CN" w:bidi="ar"/>
              </w:rPr>
              <w:t>Z3050</w:t>
            </w:r>
          </w:p>
        </w:tc>
        <w:tc>
          <w:tcPr>
            <w:tcW w:w="2224" w:type="dxa"/>
            <w:vAlign w:val="center"/>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2"/>
                <w:sz w:val="21"/>
                <w:szCs w:val="21"/>
                <w:lang w:val="en-US" w:eastAsia="zh-CN" w:bidi="ar"/>
              </w:rPr>
              <w:t>1</w:t>
            </w:r>
          </w:p>
        </w:tc>
        <w:tc>
          <w:tcPr>
            <w:tcW w:w="2163" w:type="dxa"/>
            <w:vAlign w:val="center"/>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2"/>
                <w:sz w:val="21"/>
                <w:szCs w:val="21"/>
                <w:lang w:val="en-US" w:eastAsia="zh-CN" w:bidi="ar"/>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微软雅黑" w:cs="Times New Roman"/>
                <w:kern w:val="0"/>
                <w:sz w:val="21"/>
                <w:szCs w:val="21"/>
                <w:lang w:val="en-US" w:eastAsia="zh-CN" w:bidi="ar"/>
              </w:rPr>
              <w:t>10</w:t>
            </w:r>
          </w:p>
        </w:tc>
        <w:tc>
          <w:tcPr>
            <w:tcW w:w="2125" w:type="dxa"/>
            <w:vAlign w:val="top"/>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eastAsia" w:ascii="仿宋" w:hAnsi="仿宋" w:eastAsia="仿宋" w:cs="仿宋"/>
                <w:kern w:val="2"/>
                <w:sz w:val="21"/>
                <w:szCs w:val="21"/>
                <w:lang w:val="en-US" w:eastAsia="zh-CN" w:bidi="ar"/>
              </w:rPr>
              <w:t>龙门铣</w:t>
            </w:r>
          </w:p>
        </w:tc>
        <w:tc>
          <w:tcPr>
            <w:tcW w:w="1868" w:type="dxa"/>
            <w:vAlign w:val="top"/>
          </w:tcPr>
          <w:p>
            <w:pPr>
              <w:pStyle w:val="12"/>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宋体" w:cs="Times New Roman"/>
                <w:color w:val="000000"/>
                <w:kern w:val="2"/>
                <w:sz w:val="20"/>
                <w:szCs w:val="20"/>
                <w:lang w:val="en-US" w:eastAsia="zh-CN" w:bidi="ar"/>
              </w:rPr>
              <w:t>/</w:t>
            </w:r>
          </w:p>
        </w:tc>
        <w:tc>
          <w:tcPr>
            <w:tcW w:w="2224" w:type="dxa"/>
            <w:vAlign w:val="center"/>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2"/>
                <w:sz w:val="21"/>
                <w:szCs w:val="21"/>
                <w:lang w:val="en-US" w:eastAsia="zh-CN" w:bidi="ar"/>
              </w:rPr>
              <w:t>1</w:t>
            </w:r>
          </w:p>
        </w:tc>
        <w:tc>
          <w:tcPr>
            <w:tcW w:w="2163" w:type="dxa"/>
            <w:vAlign w:val="center"/>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2"/>
                <w:sz w:val="21"/>
                <w:szCs w:val="21"/>
                <w:lang w:val="en-US" w:eastAsia="zh-CN" w:bidi="ar"/>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微软雅黑" w:cs="Times New Roman"/>
                <w:kern w:val="0"/>
                <w:sz w:val="21"/>
                <w:szCs w:val="21"/>
                <w:lang w:val="en-US" w:eastAsia="zh-CN" w:bidi="ar"/>
              </w:rPr>
              <w:t>11</w:t>
            </w:r>
          </w:p>
        </w:tc>
        <w:tc>
          <w:tcPr>
            <w:tcW w:w="2125" w:type="dxa"/>
            <w:vAlign w:val="top"/>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eastAsia" w:ascii="仿宋" w:hAnsi="仿宋" w:eastAsia="仿宋" w:cs="仿宋"/>
                <w:kern w:val="2"/>
                <w:sz w:val="21"/>
                <w:szCs w:val="21"/>
                <w:lang w:val="en-US" w:eastAsia="zh-CN" w:bidi="ar"/>
              </w:rPr>
              <w:t>小工具磨</w:t>
            </w:r>
          </w:p>
        </w:tc>
        <w:tc>
          <w:tcPr>
            <w:tcW w:w="1868" w:type="dxa"/>
            <w:vAlign w:val="top"/>
          </w:tcPr>
          <w:p>
            <w:pPr>
              <w:pStyle w:val="12"/>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宋体" w:cs="Times New Roman"/>
                <w:color w:val="000000"/>
                <w:kern w:val="2"/>
                <w:sz w:val="20"/>
                <w:szCs w:val="20"/>
                <w:lang w:val="en-US" w:eastAsia="zh-CN" w:bidi="ar"/>
              </w:rPr>
              <w:t>/</w:t>
            </w:r>
          </w:p>
        </w:tc>
        <w:tc>
          <w:tcPr>
            <w:tcW w:w="2224" w:type="dxa"/>
            <w:vAlign w:val="center"/>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2"/>
                <w:sz w:val="21"/>
                <w:szCs w:val="21"/>
                <w:lang w:val="en-US" w:eastAsia="zh-CN" w:bidi="ar"/>
              </w:rPr>
              <w:t>1</w:t>
            </w:r>
          </w:p>
        </w:tc>
        <w:tc>
          <w:tcPr>
            <w:tcW w:w="2163" w:type="dxa"/>
            <w:vAlign w:val="center"/>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2"/>
                <w:sz w:val="21"/>
                <w:szCs w:val="21"/>
                <w:lang w:val="en-US" w:eastAsia="zh-CN" w:bidi="ar"/>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微软雅黑" w:cs="Times New Roman"/>
                <w:kern w:val="0"/>
                <w:sz w:val="21"/>
                <w:szCs w:val="21"/>
                <w:lang w:val="en-US" w:eastAsia="zh-CN" w:bidi="ar"/>
              </w:rPr>
              <w:t>12</w:t>
            </w:r>
          </w:p>
        </w:tc>
        <w:tc>
          <w:tcPr>
            <w:tcW w:w="2125" w:type="dxa"/>
            <w:vAlign w:val="top"/>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eastAsia" w:ascii="仿宋" w:hAnsi="仿宋" w:eastAsia="仿宋" w:cs="仿宋"/>
                <w:kern w:val="2"/>
                <w:sz w:val="21"/>
                <w:szCs w:val="21"/>
                <w:lang w:val="en-US" w:eastAsia="zh-CN" w:bidi="ar"/>
              </w:rPr>
              <w:t>精密磨床</w:t>
            </w:r>
          </w:p>
        </w:tc>
        <w:tc>
          <w:tcPr>
            <w:tcW w:w="1868" w:type="dxa"/>
            <w:vAlign w:val="top"/>
          </w:tcPr>
          <w:p>
            <w:pPr>
              <w:pStyle w:val="12"/>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宋体" w:cs="Times New Roman"/>
                <w:color w:val="000000"/>
                <w:kern w:val="2"/>
                <w:sz w:val="20"/>
                <w:szCs w:val="20"/>
                <w:lang w:val="en-US" w:eastAsia="zh-CN" w:bidi="ar"/>
              </w:rPr>
              <w:t>/</w:t>
            </w:r>
          </w:p>
        </w:tc>
        <w:tc>
          <w:tcPr>
            <w:tcW w:w="2224" w:type="dxa"/>
            <w:vAlign w:val="center"/>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2"/>
                <w:sz w:val="21"/>
                <w:szCs w:val="21"/>
                <w:lang w:val="en-US" w:eastAsia="zh-CN" w:bidi="ar"/>
              </w:rPr>
              <w:t>1</w:t>
            </w:r>
          </w:p>
        </w:tc>
        <w:tc>
          <w:tcPr>
            <w:tcW w:w="2163" w:type="dxa"/>
            <w:vAlign w:val="center"/>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eastAsia" w:ascii="Times New Roman" w:hAnsi="Times New Roman" w:eastAsia="仿宋" w:cs="仿宋"/>
                <w:kern w:val="2"/>
                <w:sz w:val="21"/>
                <w:szCs w:val="21"/>
                <w:lang w:val="en-US" w:eastAsia="zh-CN" w:bidi="ar"/>
              </w:rPr>
              <w:t>未建设</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微软雅黑" w:cs="Times New Roman"/>
                <w:kern w:val="0"/>
                <w:sz w:val="21"/>
                <w:szCs w:val="21"/>
                <w:lang w:val="en-US" w:eastAsia="zh-CN" w:bidi="ar"/>
              </w:rPr>
              <w:t>13</w:t>
            </w:r>
          </w:p>
        </w:tc>
        <w:tc>
          <w:tcPr>
            <w:tcW w:w="2125" w:type="dxa"/>
            <w:vAlign w:val="top"/>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eastAsia" w:ascii="仿宋" w:hAnsi="仿宋" w:eastAsia="仿宋" w:cs="仿宋"/>
                <w:kern w:val="2"/>
                <w:sz w:val="21"/>
                <w:szCs w:val="21"/>
                <w:lang w:val="en-US" w:eastAsia="zh-CN" w:bidi="ar"/>
              </w:rPr>
              <w:t>空压机</w:t>
            </w:r>
          </w:p>
        </w:tc>
        <w:tc>
          <w:tcPr>
            <w:tcW w:w="1868" w:type="dxa"/>
            <w:vAlign w:val="top"/>
          </w:tcPr>
          <w:p>
            <w:pPr>
              <w:pStyle w:val="12"/>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宋体" w:cs="Times New Roman"/>
                <w:color w:val="000000"/>
                <w:kern w:val="2"/>
                <w:sz w:val="20"/>
                <w:szCs w:val="20"/>
                <w:lang w:val="en-US" w:eastAsia="zh-CN" w:bidi="ar"/>
              </w:rPr>
              <w:t>/</w:t>
            </w:r>
          </w:p>
        </w:tc>
        <w:tc>
          <w:tcPr>
            <w:tcW w:w="2224" w:type="dxa"/>
            <w:vAlign w:val="center"/>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2"/>
                <w:sz w:val="21"/>
                <w:szCs w:val="21"/>
                <w:lang w:val="en-US" w:eastAsia="zh-CN" w:bidi="ar"/>
              </w:rPr>
              <w:t>1</w:t>
            </w:r>
          </w:p>
        </w:tc>
        <w:tc>
          <w:tcPr>
            <w:tcW w:w="2163" w:type="dxa"/>
            <w:vAlign w:val="center"/>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2"/>
                <w:sz w:val="21"/>
                <w:szCs w:val="21"/>
                <w:lang w:val="en-US" w:eastAsia="zh-CN" w:bidi="ar"/>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823"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宋体"/>
                <w:kern w:val="2"/>
                <w:sz w:val="21"/>
                <w:szCs w:val="21"/>
                <w:lang w:val="en-US" w:eastAsia="zh-CN" w:bidi="ar"/>
              </w:rPr>
            </w:pPr>
            <w:r>
              <w:rPr>
                <w:rFonts w:hint="default" w:ascii="Times New Roman" w:hAnsi="Times New Roman" w:eastAsia="微软雅黑" w:cs="Times New Roman"/>
                <w:kern w:val="0"/>
                <w:sz w:val="21"/>
                <w:szCs w:val="21"/>
                <w:lang w:val="en-US" w:eastAsia="zh-CN" w:bidi="ar"/>
              </w:rPr>
              <w:t>14</w:t>
            </w:r>
          </w:p>
        </w:tc>
        <w:tc>
          <w:tcPr>
            <w:tcW w:w="2125" w:type="dxa"/>
            <w:vAlign w:val="top"/>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eastAsia" w:ascii="仿宋" w:hAnsi="仿宋" w:eastAsia="仿宋" w:cs="仿宋"/>
                <w:kern w:val="2"/>
                <w:sz w:val="21"/>
                <w:szCs w:val="21"/>
                <w:lang w:val="en-US" w:eastAsia="zh-CN" w:bidi="ar"/>
              </w:rPr>
              <w:t>砂轮机</w:t>
            </w:r>
          </w:p>
        </w:tc>
        <w:tc>
          <w:tcPr>
            <w:tcW w:w="1868" w:type="dxa"/>
            <w:vAlign w:val="top"/>
          </w:tcPr>
          <w:p>
            <w:pPr>
              <w:pStyle w:val="12"/>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宋体" w:cs="Times New Roman"/>
                <w:color w:val="000000"/>
                <w:kern w:val="2"/>
                <w:sz w:val="20"/>
                <w:szCs w:val="20"/>
                <w:lang w:val="en-US" w:eastAsia="zh-CN" w:bidi="ar"/>
              </w:rPr>
              <w:t>/</w:t>
            </w:r>
          </w:p>
        </w:tc>
        <w:tc>
          <w:tcPr>
            <w:tcW w:w="2224" w:type="dxa"/>
            <w:vAlign w:val="center"/>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2"/>
                <w:sz w:val="21"/>
                <w:szCs w:val="21"/>
                <w:lang w:val="en-US" w:eastAsia="zh-CN" w:bidi="ar"/>
              </w:rPr>
              <w:t>1</w:t>
            </w:r>
          </w:p>
        </w:tc>
        <w:tc>
          <w:tcPr>
            <w:tcW w:w="2163" w:type="dxa"/>
            <w:vAlign w:val="center"/>
          </w:tcPr>
          <w:p>
            <w:pPr>
              <w:pStyle w:val="12"/>
              <w:keepNext w:val="0"/>
              <w:keepLines w:val="0"/>
              <w:widowControl w:val="0"/>
              <w:suppressLineNumbers w:val="0"/>
              <w:adjustRightInd w:val="0"/>
              <w:snapToGrid w:val="0"/>
              <w:spacing w:before="0" w:beforeAutospacing="0" w:after="0" w:afterAutospacing="0" w:line="30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default" w:ascii="Times New Roman" w:hAnsi="Times New Roman" w:eastAsia="仿宋" w:cs="Times New Roman"/>
                <w:kern w:val="2"/>
                <w:sz w:val="21"/>
                <w:szCs w:val="21"/>
                <w:lang w:val="en-US" w:eastAsia="zh-CN" w:bidi="ar"/>
              </w:rPr>
              <w:t>1</w:t>
            </w:r>
          </w:p>
        </w:tc>
      </w:tr>
    </w:tbl>
    <w:p>
      <w:pPr>
        <w:spacing w:after="0" w:line="360" w:lineRule="auto"/>
        <w:ind w:firstLine="422" w:firstLineChars="200"/>
        <w:outlineLvl w:val="0"/>
        <w:rPr>
          <w:rFonts w:hint="eastAsia" w:ascii="宋体" w:hAnsi="宋体" w:eastAsia="宋体" w:cs="宋体"/>
          <w:b/>
          <w:color w:val="000000"/>
          <w:sz w:val="21"/>
          <w:szCs w:val="21"/>
        </w:rPr>
      </w:pPr>
    </w:p>
    <w:p>
      <w:pPr>
        <w:spacing w:after="0" w:line="360" w:lineRule="auto"/>
        <w:ind w:firstLine="422" w:firstLineChars="200"/>
        <w:outlineLvl w:val="0"/>
        <w:rPr>
          <w:rFonts w:ascii="宋体" w:hAnsi="宋体" w:eastAsia="宋体" w:cs="宋体"/>
          <w:b/>
          <w:color w:val="000000"/>
          <w:sz w:val="21"/>
          <w:szCs w:val="21"/>
        </w:rPr>
      </w:pPr>
      <w:r>
        <w:rPr>
          <w:rFonts w:hint="eastAsia" w:ascii="宋体" w:hAnsi="宋体" w:eastAsia="宋体" w:cs="宋体"/>
          <w:b/>
          <w:color w:val="000000"/>
          <w:sz w:val="21"/>
          <w:szCs w:val="21"/>
        </w:rPr>
        <w:t>三、环境保护设施建设情况</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（1）废气</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本项目食堂未建设，废气主要为焊接烟尘和打磨粉尘。</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其中焊接烟尘配套移动式焊烟净化器处理后无组织排放于车间内，主要污染物为颗粒物；打磨粉尘配套移动式滤芯除尘器处理后无组织排放于车间内，主要污染物为颗粒物。</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（2）废水</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本项目无工业废水产生，冷却水循环使用零排放，生活污水经化粪池处理后接管至无锡惠山环保水务有限公司（前洲厂）集中处理。主要污染物为化学需氧量、悬浮物、氨氮、总磷、总氮。</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（3）噪声</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本项目噪声主要由各类生产设备产生，通过厂房隔声、距离衰减等措施控制噪声对周边环境的影响。</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（4）固废</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本项目固体废物主要为金属废料、金属粉尘、废百叶片、废滤芯、废油、废含油抹布、手套、废乳化液、废包装桶以及生活垃圾。</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其中金属废料、金属粉尘、废百叶片、废滤芯外售综合利用；废乳化液、废油、废包装桶、废含油抹布、手套均为危废，委托常州大维环境科技有限公司处置，废含油抹布、手套经豁免与生活垃圾一起由环卫部门清运。</w:t>
      </w:r>
    </w:p>
    <w:p>
      <w:pPr>
        <w:spacing w:after="0" w:line="360" w:lineRule="auto"/>
        <w:ind w:firstLine="420" w:firstLineChars="200"/>
        <w:outlineLvl w:val="1"/>
        <w:rPr>
          <w:b/>
          <w:color w:val="000000"/>
          <w:sz w:val="21"/>
          <w:szCs w:val="21"/>
        </w:rPr>
      </w:pPr>
      <w:r>
        <w:rPr>
          <w:rFonts w:hint="eastAsia"/>
          <w:b/>
          <w:color w:val="000000"/>
          <w:sz w:val="21"/>
          <w:szCs w:val="21"/>
        </w:rPr>
        <w:t>四、环境保护设施调试效果</w:t>
      </w:r>
    </w:p>
    <w:p>
      <w:pPr>
        <w:spacing w:after="0" w:line="360" w:lineRule="auto"/>
        <w:ind w:firstLine="420" w:firstLineChars="200"/>
        <w:outlineLvl w:val="1"/>
        <w:rPr>
          <w:rFonts w:ascii="宋体" w:hAnsi="宋体" w:eastAsia="宋体" w:cs="宋体"/>
          <w:color w:val="000000"/>
          <w:sz w:val="21"/>
          <w:szCs w:val="21"/>
        </w:rPr>
      </w:pPr>
      <w:r>
        <w:rPr>
          <w:rFonts w:hint="eastAsia" w:ascii="宋体" w:hAnsi="宋体" w:eastAsia="宋体" w:cs="宋体"/>
          <w:color w:val="000000"/>
          <w:sz w:val="21"/>
          <w:szCs w:val="21"/>
        </w:rPr>
        <w:t>1.废水</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2021年3月23日、24日验收监测期间，我公司生活污水中的化学需氧量、悬浮物日均值以及pH值各次范围均符合《污水综合排放标准》（GB8978-1996）表4三级标准；氨氮、总氮、总磷日均值符合《污水排入城镇下水道水质标准》（GB/T31962-2015）表1中A等级标准。</w:t>
      </w:r>
    </w:p>
    <w:p>
      <w:pPr>
        <w:spacing w:after="0" w:line="360" w:lineRule="auto"/>
        <w:ind w:firstLine="420" w:firstLineChars="200"/>
        <w:outlineLvl w:val="1"/>
        <w:rPr>
          <w:rFonts w:ascii="宋体" w:hAnsi="宋体" w:eastAsia="宋体" w:cs="宋体"/>
          <w:color w:val="000000"/>
          <w:sz w:val="21"/>
          <w:szCs w:val="21"/>
        </w:rPr>
      </w:pPr>
      <w:r>
        <w:rPr>
          <w:rFonts w:hint="eastAsia" w:ascii="宋体" w:hAnsi="宋体" w:eastAsia="宋体" w:cs="宋体"/>
          <w:color w:val="000000"/>
          <w:sz w:val="21"/>
          <w:szCs w:val="21"/>
        </w:rPr>
        <w:t>2.废气</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2021年3月23日、24日验收监测期间，本项目无组织排放的颗粒物符合上海市地方标准《大气污染物综合排放标准》（DB31/ 933-2015）表3标准。</w:t>
      </w:r>
    </w:p>
    <w:p>
      <w:pPr>
        <w:spacing w:after="0" w:line="360" w:lineRule="auto"/>
        <w:ind w:firstLine="420" w:firstLineChars="200"/>
        <w:outlineLvl w:val="1"/>
        <w:rPr>
          <w:rFonts w:ascii="宋体" w:hAnsi="宋体" w:eastAsia="宋体" w:cs="宋体"/>
          <w:color w:val="000000"/>
          <w:sz w:val="21"/>
          <w:szCs w:val="21"/>
        </w:rPr>
      </w:pPr>
      <w:r>
        <w:rPr>
          <w:rFonts w:hint="eastAsia" w:ascii="宋体" w:hAnsi="宋体" w:eastAsia="宋体" w:cs="宋体"/>
          <w:color w:val="000000"/>
          <w:sz w:val="21"/>
          <w:szCs w:val="21"/>
        </w:rPr>
        <w:t>3.噪声</w:t>
      </w:r>
    </w:p>
    <w:p>
      <w:pPr>
        <w:spacing w:after="0" w:line="360" w:lineRule="auto"/>
        <w:ind w:firstLine="420" w:firstLineChars="200"/>
        <w:outlineLvl w:val="1"/>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2021年3月23日、24日监测期间，我公司昼间东、西、北侧厂界噪声均符合《工业企业厂界环境噪声排放标准》（GB12348-2008）表1中3类标准。</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.污染物排放总量</w:t>
      </w:r>
    </w:p>
    <w:p>
      <w:pPr>
        <w:spacing w:after="0" w:line="360" w:lineRule="auto"/>
        <w:ind w:firstLine="420" w:firstLineChars="200"/>
        <w:outlineLvl w:val="1"/>
        <w:rPr>
          <w:rFonts w:hint="eastAsia" w:ascii="宋体" w:hAnsi="宋体" w:eastAsia="宋体" w:cs="宋体"/>
          <w:color w:val="000000"/>
          <w:sz w:val="21"/>
          <w:szCs w:val="21"/>
        </w:rPr>
      </w:pPr>
      <w:r>
        <w:rPr>
          <w:rFonts w:hint="eastAsia" w:ascii="宋体" w:hAnsi="宋体" w:eastAsia="宋体" w:cs="宋体"/>
          <w:color w:val="000000"/>
          <w:sz w:val="21"/>
          <w:szCs w:val="21"/>
        </w:rPr>
        <w:t>本项目无法核算排水量，按员工人数核算，15人每人每天消耗水量50L，全年工作300天，折算系数80%，年排水量约为180吨。</w:t>
      </w:r>
    </w:p>
    <w:p>
      <w:pPr>
        <w:spacing w:after="0" w:line="360" w:lineRule="auto"/>
        <w:ind w:firstLine="420" w:firstLineChars="200"/>
        <w:outlineLvl w:val="1"/>
        <w:rPr>
          <w:rFonts w:ascii="宋体" w:hAnsi="宋体" w:eastAsia="宋体" w:cs="宋体"/>
          <w:color w:val="000000"/>
          <w:sz w:val="21"/>
          <w:szCs w:val="21"/>
        </w:rPr>
      </w:pPr>
      <w:r>
        <w:rPr>
          <w:rFonts w:hint="eastAsia" w:ascii="宋体" w:hAnsi="宋体" w:eastAsia="宋体" w:cs="宋体"/>
          <w:color w:val="000000"/>
          <w:sz w:val="21"/>
          <w:szCs w:val="21"/>
        </w:rPr>
        <w:t>根据监测期间数据核算，我公司年排放废水180吨，废水中年排放化学需氧量0.0270吨、悬浮物0.0120吨、氨氮0.0031吨、总磷0.00030吨、总氮0.0044吨，均符合本项目环评批复中核定的总量控制指标。食堂未建设，未监测食堂油烟。企业的排放总量及主要污染物见表 4-4-1。</w:t>
      </w:r>
    </w:p>
    <w:p>
      <w:pPr>
        <w:adjustRightInd/>
        <w:snapToGrid/>
        <w:spacing w:after="0"/>
        <w:jc w:val="center"/>
        <w:rPr>
          <w:rFonts w:ascii="宋体" w:hAnsi="宋体" w:eastAsia="宋体" w:cs="宋体"/>
          <w:sz w:val="24"/>
          <w:szCs w:val="24"/>
        </w:rPr>
      </w:pPr>
      <w:r>
        <w:rPr>
          <w:rFonts w:ascii="仿宋" w:hAnsi="仿宋" w:eastAsia="宋体" w:cs="宋体"/>
          <w:color w:val="000000"/>
        </w:rPr>
        <w:t xml:space="preserve">表 </w:t>
      </w:r>
      <w:r>
        <w:rPr>
          <w:rFonts w:hint="eastAsia" w:ascii="TimesNewRomanPS-BoldMT" w:hAnsi="TimesNewRomanPS-BoldMT" w:eastAsia="宋体" w:cs="宋体"/>
          <w:bCs/>
          <w:color w:val="000000"/>
        </w:rPr>
        <w:t>4-4-1</w:t>
      </w:r>
      <w:r>
        <w:rPr>
          <w:rFonts w:ascii="仿宋" w:hAnsi="仿宋" w:eastAsia="宋体" w:cs="宋体"/>
          <w:color w:val="000000"/>
        </w:rPr>
        <w:t>主要污染物排放总量</w:t>
      </w:r>
    </w:p>
    <w:tbl>
      <w:tblPr>
        <w:tblStyle w:val="14"/>
        <w:tblW w:w="895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066"/>
        <w:gridCol w:w="2525"/>
        <w:gridCol w:w="25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noWrap w:val="0"/>
            <w:vAlign w:val="top"/>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Times New Roman" w:hAnsi="Times New Roman" w:eastAsia="仿宋" w:cs="Times New Roman"/>
                <w:b/>
                <w:bCs/>
                <w:kern w:val="2"/>
                <w:sz w:val="21"/>
                <w:szCs w:val="21"/>
              </w:rPr>
            </w:pPr>
            <w:r>
              <w:rPr>
                <w:rFonts w:hint="eastAsia" w:ascii="Times New Roman" w:hAnsi="Times New Roman" w:eastAsia="仿宋" w:cs="Times New Roman"/>
                <w:b/>
                <w:bCs/>
                <w:kern w:val="2"/>
                <w:sz w:val="21"/>
                <w:szCs w:val="21"/>
              </w:rPr>
              <w:t>控制项目</w:t>
            </w:r>
          </w:p>
        </w:tc>
        <w:tc>
          <w:tcPr>
            <w:tcW w:w="2066" w:type="dxa"/>
            <w:noWrap w:val="0"/>
            <w:vAlign w:val="top"/>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Times New Roman" w:hAnsi="Times New Roman" w:eastAsia="仿宋" w:cs="Times New Roman"/>
                <w:b/>
                <w:bCs/>
                <w:kern w:val="2"/>
                <w:sz w:val="21"/>
                <w:szCs w:val="21"/>
              </w:rPr>
            </w:pPr>
            <w:r>
              <w:rPr>
                <w:rFonts w:hint="eastAsia" w:ascii="Times New Roman" w:hAnsi="Times New Roman" w:eastAsia="仿宋" w:cs="Times New Roman"/>
                <w:b/>
                <w:bCs/>
                <w:kern w:val="2"/>
                <w:sz w:val="21"/>
                <w:szCs w:val="21"/>
              </w:rPr>
              <w:t>污染物</w:t>
            </w:r>
          </w:p>
        </w:tc>
        <w:tc>
          <w:tcPr>
            <w:tcW w:w="2525" w:type="dxa"/>
            <w:noWrap w:val="0"/>
            <w:vAlign w:val="top"/>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Times New Roman" w:hAnsi="Times New Roman" w:eastAsia="仿宋" w:cs="Times New Roman"/>
                <w:b/>
                <w:bCs/>
                <w:kern w:val="2"/>
                <w:sz w:val="21"/>
                <w:szCs w:val="21"/>
              </w:rPr>
            </w:pPr>
            <w:r>
              <w:rPr>
                <w:rFonts w:hint="eastAsia" w:ascii="Times New Roman" w:hAnsi="Times New Roman" w:eastAsia="仿宋" w:cs="Times New Roman"/>
                <w:b/>
                <w:bCs/>
                <w:kern w:val="2"/>
                <w:sz w:val="21"/>
                <w:szCs w:val="21"/>
              </w:rPr>
              <w:t>审批核定量（t/a）</w:t>
            </w:r>
          </w:p>
        </w:tc>
        <w:tc>
          <w:tcPr>
            <w:tcW w:w="2524" w:type="dxa"/>
            <w:noWrap w:val="0"/>
            <w:vAlign w:val="top"/>
          </w:tcPr>
          <w:p>
            <w:pPr>
              <w:keepNext w:val="0"/>
              <w:keepLines w:val="0"/>
              <w:widowControl w:val="0"/>
              <w:suppressLineNumbers w:val="0"/>
              <w:adjustRightInd/>
              <w:snapToGrid/>
              <w:spacing w:before="0" w:beforeAutospacing="0" w:after="0" w:afterAutospacing="0" w:line="240" w:lineRule="exact"/>
              <w:ind w:left="0" w:right="0"/>
              <w:jc w:val="center"/>
              <w:rPr>
                <w:rFonts w:hint="eastAsia" w:ascii="Times New Roman" w:hAnsi="Times New Roman" w:eastAsia="仿宋" w:cs="Times New Roman"/>
                <w:b/>
                <w:bCs/>
                <w:kern w:val="2"/>
                <w:sz w:val="21"/>
                <w:szCs w:val="21"/>
              </w:rPr>
            </w:pPr>
            <w:r>
              <w:rPr>
                <w:rFonts w:hint="eastAsia" w:ascii="Times New Roman" w:hAnsi="Times New Roman" w:eastAsia="仿宋" w:cs="Times New Roman"/>
                <w:b/>
                <w:bCs/>
                <w:kern w:val="2"/>
                <w:sz w:val="21"/>
                <w:szCs w:val="21"/>
              </w:rPr>
              <w:t>实际年排放量（t/a）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vMerge w:val="restart"/>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废水</w:t>
            </w: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废水量</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252</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180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vMerge w:val="continue"/>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化学需氧量</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0.1008</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0.0270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vMerge w:val="continue"/>
            <w:tcBorders/>
            <w:noWrap w:val="0"/>
            <w:vAlign w:val="center"/>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悬浮物</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0.0756</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0.0120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vMerge w:val="continue"/>
            <w:tcBorders/>
            <w:noWrap w:val="0"/>
            <w:vAlign w:val="top"/>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氨氮</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0.0088</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0.0031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43" w:type="dxa"/>
            <w:vMerge w:val="continue"/>
            <w:tcBorders/>
            <w:noWrap w:val="0"/>
            <w:vAlign w:val="top"/>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总</w:t>
            </w:r>
            <w:r>
              <w:rPr>
                <w:rFonts w:hint="eastAsia" w:ascii="Times New Roman" w:hAnsi="Times New Roman" w:eastAsia="仿宋" w:cs="仿宋"/>
                <w:kern w:val="2"/>
                <w:sz w:val="21"/>
                <w:szCs w:val="21"/>
                <w:lang w:val="en-US" w:eastAsia="zh-CN" w:bidi="ar"/>
              </w:rPr>
              <w:t>氮</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0.00101</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0.00030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43" w:type="dxa"/>
            <w:vMerge w:val="continue"/>
            <w:tcBorders/>
            <w:noWrap w:val="0"/>
            <w:vAlign w:val="top"/>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总磷</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0.0101</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Times New Roman"/>
                <w:kern w:val="2"/>
                <w:sz w:val="21"/>
                <w:szCs w:val="21"/>
              </w:rPr>
            </w:pPr>
            <w:r>
              <w:rPr>
                <w:rFonts w:hint="default" w:ascii="Times New Roman" w:hAnsi="Times New Roman" w:eastAsia="仿宋" w:cs="Times New Roman"/>
                <w:kern w:val="2"/>
                <w:sz w:val="21"/>
                <w:szCs w:val="21"/>
                <w:lang w:val="en-US" w:eastAsia="zh-CN" w:bidi="ar"/>
              </w:rPr>
              <w:t>0.0044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43" w:type="dxa"/>
            <w:vMerge w:val="continue"/>
            <w:tcBorders/>
            <w:noWrap w:val="0"/>
            <w:vAlign w:val="top"/>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rPr>
            </w:pP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eastAsia" w:ascii="Times New Roman" w:hAnsi="Times New Roman" w:eastAsia="仿宋" w:cs="Times New Roman"/>
                <w:kern w:val="2"/>
                <w:sz w:val="21"/>
                <w:szCs w:val="21"/>
                <w:lang w:val="en-US" w:eastAsia="zh-CN" w:bidi="ar"/>
              </w:rPr>
              <w:t>动植物油</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仿宋"/>
                <w:kern w:val="2"/>
                <w:sz w:val="21"/>
                <w:szCs w:val="21"/>
                <w:lang w:val="en-US" w:eastAsia="zh-CN" w:bidi="ar"/>
              </w:rPr>
            </w:pPr>
            <w:r>
              <w:rPr>
                <w:rFonts w:hint="default" w:ascii="Times New Roman" w:hAnsi="Times New Roman" w:eastAsia="仿宋" w:cs="Times New Roman"/>
                <w:kern w:val="2"/>
                <w:sz w:val="21"/>
                <w:szCs w:val="21"/>
                <w:lang w:val="en-US" w:eastAsia="zh-CN" w:bidi="ar"/>
              </w:rPr>
              <w:t>0.0058</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仿宋"/>
                <w:kern w:val="2"/>
                <w:sz w:val="21"/>
                <w:szCs w:val="21"/>
                <w:lang w:val="en-US" w:eastAsia="zh-CN" w:bidi="ar"/>
              </w:rPr>
            </w:pPr>
            <w:r>
              <w:rPr>
                <w:rFonts w:hint="default" w:ascii="Times New Roman" w:hAnsi="Times New Roman" w:eastAsia="仿宋" w:cs="Times New Roman"/>
                <w:kern w:val="2"/>
                <w:sz w:val="21"/>
                <w:szCs w:val="21"/>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43" w:type="dxa"/>
            <w:tcBorders/>
            <w:noWrap w:val="0"/>
            <w:vAlign w:val="top"/>
          </w:tcPr>
          <w:p>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仿宋" w:cs="Times New Roman"/>
                <w:kern w:val="2"/>
                <w:sz w:val="21"/>
                <w:szCs w:val="21"/>
                <w:lang w:val="en-US" w:eastAsia="zh-CN"/>
              </w:rPr>
            </w:pPr>
            <w:r>
              <w:rPr>
                <w:rFonts w:hint="eastAsia" w:ascii="Times New Roman" w:hAnsi="Times New Roman" w:eastAsia="仿宋" w:cs="Times New Roman"/>
                <w:kern w:val="2"/>
                <w:sz w:val="21"/>
                <w:szCs w:val="21"/>
                <w:lang w:val="en-US" w:eastAsia="zh-CN"/>
              </w:rPr>
              <w:t>废气</w:t>
            </w:r>
          </w:p>
        </w:tc>
        <w:tc>
          <w:tcPr>
            <w:tcW w:w="2066" w:type="dxa"/>
            <w:noWrap w:val="0"/>
            <w:vAlign w:val="center"/>
          </w:tcPr>
          <w:p>
            <w:pPr>
              <w:keepNext w:val="0"/>
              <w:keepLines w:val="0"/>
              <w:widowControl w:val="0"/>
              <w:suppressLineNumbers w:val="0"/>
              <w:spacing w:before="0" w:beforeAutospacing="0" w:after="0" w:afterAutospacing="0" w:line="320" w:lineRule="exact"/>
              <w:ind w:left="0" w:leftChars="0" w:right="0" w:rightChars="0"/>
              <w:jc w:val="center"/>
              <w:rPr>
                <w:rFonts w:hint="default" w:ascii="Times New Roman" w:hAnsi="Times New Roman" w:eastAsia="仿宋" w:cs="Times New Roman"/>
                <w:kern w:val="2"/>
                <w:sz w:val="21"/>
                <w:szCs w:val="21"/>
                <w:lang w:val="en-US" w:eastAsia="zh-CN" w:bidi="ar"/>
              </w:rPr>
            </w:pPr>
            <w:r>
              <w:rPr>
                <w:rFonts w:hint="eastAsia" w:ascii="Times New Roman" w:hAnsi="Times New Roman" w:eastAsia="仿宋" w:cs="Times New Roman"/>
                <w:kern w:val="2"/>
                <w:sz w:val="21"/>
                <w:szCs w:val="21"/>
                <w:lang w:val="en-US" w:eastAsia="zh-CN" w:bidi="ar"/>
              </w:rPr>
              <w:t>食堂油烟</w:t>
            </w:r>
          </w:p>
        </w:tc>
        <w:tc>
          <w:tcPr>
            <w:tcW w:w="2525"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仿宋"/>
                <w:kern w:val="2"/>
                <w:sz w:val="21"/>
                <w:szCs w:val="21"/>
                <w:lang w:val="en-US" w:eastAsia="zh-CN" w:bidi="ar"/>
              </w:rPr>
            </w:pPr>
            <w:r>
              <w:rPr>
                <w:rFonts w:hint="default" w:ascii="Times New Roman" w:hAnsi="Times New Roman" w:eastAsia="仿宋" w:cs="Times New Roman"/>
                <w:kern w:val="2"/>
                <w:sz w:val="21"/>
                <w:szCs w:val="21"/>
                <w:lang w:val="en-US" w:eastAsia="zh-CN" w:bidi="ar"/>
              </w:rPr>
              <w:t>0.000675</w:t>
            </w:r>
          </w:p>
        </w:tc>
        <w:tc>
          <w:tcPr>
            <w:tcW w:w="2524" w:type="dxa"/>
            <w:noWrap w:val="0"/>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Times New Roman" w:hAnsi="Times New Roman" w:eastAsia="仿宋" w:cs="仿宋"/>
                <w:kern w:val="2"/>
                <w:sz w:val="21"/>
                <w:szCs w:val="21"/>
                <w:lang w:val="en-US" w:eastAsia="zh-CN" w:bidi="ar"/>
              </w:rPr>
            </w:pPr>
            <w:r>
              <w:rPr>
                <w:rFonts w:hint="default" w:ascii="Times New Roman" w:hAnsi="Times New Roman" w:eastAsia="仿宋" w:cs="Times New Roman"/>
                <w:kern w:val="2"/>
                <w:sz w:val="21"/>
                <w:szCs w:val="21"/>
                <w:lang w:val="en-US" w:eastAsia="zh-CN" w:bidi="ar"/>
              </w:rPr>
              <w:t>/</w:t>
            </w:r>
          </w:p>
        </w:tc>
      </w:tr>
    </w:tbl>
    <w:p>
      <w:pPr>
        <w:pStyle w:val="20"/>
        <w:spacing w:before="0" w:beforeAutospacing="0" w:after="0" w:afterAutospacing="0" w:line="360" w:lineRule="auto"/>
        <w:ind w:firstLine="422" w:firstLineChars="200"/>
        <w:jc w:val="both"/>
        <w:outlineLvl w:val="0"/>
        <w:rPr>
          <w:b/>
          <w:color w:val="000000"/>
          <w:sz w:val="21"/>
          <w:szCs w:val="21"/>
        </w:rPr>
      </w:pPr>
      <w:r>
        <w:rPr>
          <w:rFonts w:hint="eastAsia"/>
          <w:b/>
          <w:color w:val="000000"/>
          <w:sz w:val="21"/>
          <w:szCs w:val="21"/>
        </w:rPr>
        <w:t>五、工程建设对环境的影响</w:t>
      </w:r>
    </w:p>
    <w:p>
      <w:pPr>
        <w:pStyle w:val="20"/>
        <w:spacing w:before="0" w:beforeAutospacing="0" w:after="0" w:afterAutospacing="0" w:line="360" w:lineRule="auto"/>
        <w:ind w:firstLine="420" w:firstLineChars="200"/>
        <w:jc w:val="both"/>
        <w:outlineLvl w:val="0"/>
        <w:rPr>
          <w:color w:val="000000"/>
          <w:sz w:val="21"/>
          <w:szCs w:val="21"/>
        </w:rPr>
      </w:pPr>
      <w:r>
        <w:rPr>
          <w:color w:val="000000"/>
          <w:sz w:val="21"/>
          <w:szCs w:val="21"/>
        </w:rPr>
        <w:t>综上所述，</w:t>
      </w:r>
      <w:r>
        <w:rPr>
          <w:rFonts w:hint="eastAsia"/>
          <w:color w:val="000000"/>
          <w:sz w:val="21"/>
          <w:szCs w:val="21"/>
        </w:rPr>
        <w:t>根据监测结果来看</w:t>
      </w:r>
      <w:r>
        <w:rPr>
          <w:color w:val="000000"/>
          <w:sz w:val="21"/>
          <w:szCs w:val="21"/>
        </w:rPr>
        <w:t>，认为本项目在认真执行设计方案及环评中提出的污染防治措施后，产生的污染物对环境影响很小，从环境保护的角度分析，</w:t>
      </w:r>
      <w:r>
        <w:rPr>
          <w:rFonts w:hint="eastAsia"/>
          <w:sz w:val="21"/>
          <w:szCs w:val="21"/>
          <w:lang w:eastAsia="zh-CN"/>
        </w:rPr>
        <w:t>无锡嘉汉机械有限公司</w:t>
      </w:r>
      <w:r>
        <w:rPr>
          <w:rFonts w:hint="eastAsia"/>
          <w:color w:val="000000"/>
          <w:sz w:val="21"/>
          <w:szCs w:val="21"/>
          <w:lang w:eastAsia="zh-CN"/>
        </w:rPr>
        <w:t>石油钻采专用设备及配件、其他专用设备及配件、通用设备机配件制造、加工项目</w:t>
      </w:r>
      <w:r>
        <w:rPr>
          <w:color w:val="000000"/>
          <w:sz w:val="21"/>
          <w:szCs w:val="21"/>
        </w:rPr>
        <w:t>的建设是可行的。</w:t>
      </w:r>
    </w:p>
    <w:p>
      <w:pPr>
        <w:pStyle w:val="20"/>
        <w:spacing w:before="0" w:beforeAutospacing="0" w:after="0" w:afterAutospacing="0" w:line="360" w:lineRule="auto"/>
        <w:ind w:firstLine="422" w:firstLineChars="200"/>
        <w:jc w:val="both"/>
        <w:outlineLvl w:val="0"/>
        <w:rPr>
          <w:b/>
          <w:color w:val="000000"/>
          <w:sz w:val="21"/>
          <w:szCs w:val="21"/>
        </w:rPr>
      </w:pPr>
      <w:r>
        <w:rPr>
          <w:rFonts w:hint="eastAsia"/>
          <w:b/>
          <w:color w:val="000000"/>
          <w:sz w:val="21"/>
          <w:szCs w:val="21"/>
        </w:rPr>
        <w:t>六、验收结论</w:t>
      </w:r>
    </w:p>
    <w:p>
      <w:pPr>
        <w:pStyle w:val="20"/>
        <w:spacing w:before="0" w:beforeAutospacing="0" w:after="0" w:afterAutospacing="0" w:line="360" w:lineRule="auto"/>
        <w:ind w:firstLine="420" w:firstLineChars="200"/>
        <w:jc w:val="both"/>
        <w:outlineLvl w:val="0"/>
        <w:rPr>
          <w:color w:val="000000"/>
          <w:sz w:val="21"/>
          <w:szCs w:val="21"/>
        </w:rPr>
      </w:pPr>
      <w:r>
        <w:rPr>
          <w:rFonts w:hint="eastAsia"/>
          <w:sz w:val="21"/>
          <w:szCs w:val="21"/>
          <w:lang w:eastAsia="zh-CN"/>
        </w:rPr>
        <w:t>无锡嘉汉机械有限公司</w:t>
      </w:r>
      <w:r>
        <w:rPr>
          <w:rFonts w:hint="eastAsia"/>
          <w:color w:val="000000"/>
          <w:sz w:val="21"/>
          <w:szCs w:val="21"/>
          <w:lang w:eastAsia="zh-CN"/>
        </w:rPr>
        <w:t>石油钻采专用设备及配件、其他专用设备及配件、通用设备机配件制造、加工项目</w:t>
      </w:r>
      <w:r>
        <w:rPr>
          <w:rFonts w:hint="eastAsia"/>
          <w:color w:val="000000"/>
          <w:sz w:val="21"/>
          <w:szCs w:val="21"/>
        </w:rPr>
        <w:t>已按照环境影响报告表及其批复要求建成环境保护设施并与主体工程同时投产使用，核查该项目建设内容与环评内容和批复一致，环境保护手续齐全，环保管理较为规范，污染防治措施与“三同时”验收一览表等内容一致，其生产装置和环保设施运行正常,该项目各项污染物经江苏环科检测有限公司</w:t>
      </w:r>
      <w:bookmarkStart w:id="0" w:name="_GoBack"/>
      <w:bookmarkEnd w:id="0"/>
      <w:r>
        <w:rPr>
          <w:rFonts w:hint="eastAsia"/>
          <w:color w:val="000000"/>
          <w:sz w:val="21"/>
          <w:szCs w:val="21"/>
        </w:rPr>
        <w:t>监测其污染物能达标排放，</w:t>
      </w:r>
      <w:r>
        <w:rPr>
          <w:rFonts w:hint="eastAsia"/>
          <w:color w:val="000000"/>
          <w:sz w:val="21"/>
          <w:szCs w:val="21"/>
          <w:lang w:val="en-US" w:eastAsia="zh-CN"/>
        </w:rPr>
        <w:t>污染物</w:t>
      </w:r>
      <w:r>
        <w:rPr>
          <w:rFonts w:hint="eastAsia"/>
          <w:color w:val="000000"/>
          <w:sz w:val="21"/>
          <w:szCs w:val="21"/>
        </w:rPr>
        <w:t>年排放总量符合环评及批复的相关要求，本项目通过竣工环境保护验收。</w:t>
      </w:r>
    </w:p>
    <w:p>
      <w:pPr>
        <w:pStyle w:val="20"/>
        <w:numPr>
          <w:ilvl w:val="0"/>
          <w:numId w:val="2"/>
        </w:numPr>
        <w:spacing w:before="0" w:beforeAutospacing="0" w:after="0" w:afterAutospacing="0" w:line="360" w:lineRule="auto"/>
        <w:ind w:firstLine="422" w:firstLineChars="200"/>
        <w:jc w:val="both"/>
        <w:outlineLvl w:val="0"/>
        <w:rPr>
          <w:b/>
          <w:color w:val="000000"/>
          <w:sz w:val="21"/>
          <w:szCs w:val="21"/>
        </w:rPr>
      </w:pPr>
      <w:r>
        <w:rPr>
          <w:rFonts w:hint="eastAsia"/>
          <w:b/>
          <w:color w:val="000000"/>
          <w:sz w:val="21"/>
          <w:szCs w:val="21"/>
        </w:rPr>
        <w:t>后续要求</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1.</w:t>
      </w:r>
      <w:r>
        <w:rPr>
          <w:color w:val="000000"/>
          <w:sz w:val="21"/>
          <w:szCs w:val="21"/>
        </w:rPr>
        <w:t>加强环境管理，保障环保设备在正常、稳态状态下运行，确保污染物稳定达标排放</w:t>
      </w:r>
      <w:r>
        <w:rPr>
          <w:rFonts w:hint="eastAsia"/>
          <w:color w:val="000000"/>
          <w:sz w:val="21"/>
          <w:szCs w:val="21"/>
        </w:rPr>
        <w:t>。</w:t>
      </w:r>
    </w:p>
    <w:p>
      <w:pPr>
        <w:pStyle w:val="20"/>
        <w:spacing w:before="0" w:beforeAutospacing="0" w:after="0" w:afterAutospacing="0" w:line="360" w:lineRule="auto"/>
        <w:ind w:firstLine="420" w:firstLineChars="200"/>
        <w:jc w:val="both"/>
        <w:outlineLvl w:val="0"/>
        <w:rPr>
          <w:color w:val="000000"/>
          <w:sz w:val="21"/>
          <w:szCs w:val="21"/>
        </w:rPr>
      </w:pPr>
      <w:r>
        <w:rPr>
          <w:rFonts w:hint="eastAsia"/>
          <w:color w:val="000000"/>
          <w:sz w:val="21"/>
          <w:szCs w:val="21"/>
        </w:rPr>
        <w:t>2.</w:t>
      </w:r>
      <w:r>
        <w:rPr>
          <w:color w:val="000000"/>
          <w:sz w:val="21"/>
          <w:szCs w:val="21"/>
        </w:rPr>
        <w:t>规范化设置</w:t>
      </w:r>
      <w:r>
        <w:rPr>
          <w:rFonts w:hint="eastAsia"/>
          <w:color w:val="000000"/>
          <w:sz w:val="21"/>
          <w:szCs w:val="21"/>
        </w:rPr>
        <w:t>各</w:t>
      </w:r>
      <w:r>
        <w:rPr>
          <w:color w:val="000000"/>
          <w:sz w:val="21"/>
          <w:szCs w:val="21"/>
        </w:rPr>
        <w:t>排污口</w:t>
      </w:r>
      <w:r>
        <w:rPr>
          <w:rFonts w:hint="eastAsia"/>
          <w:color w:val="000000"/>
          <w:sz w:val="21"/>
          <w:szCs w:val="21"/>
        </w:rPr>
        <w:t>，进一步规范建设固废堆放区。</w:t>
      </w:r>
    </w:p>
    <w:p>
      <w:pPr>
        <w:spacing w:line="220" w:lineRule="atLeast"/>
        <w:ind w:right="420"/>
        <w:rPr>
          <w:rFonts w:ascii="宋体" w:hAnsi="宋体" w:eastAsia="宋体"/>
          <w:color w:val="000000"/>
          <w:sz w:val="21"/>
          <w:szCs w:val="21"/>
        </w:rPr>
      </w:pPr>
    </w:p>
    <w:p>
      <w:pPr>
        <w:spacing w:line="220" w:lineRule="atLeast"/>
        <w:jc w:val="right"/>
        <w:rPr>
          <w:rFonts w:hint="eastAsia" w:ascii="宋体" w:hAnsi="宋体" w:eastAsia="宋体"/>
          <w:sz w:val="21"/>
          <w:szCs w:val="21"/>
          <w:lang w:eastAsia="zh-CN"/>
        </w:rPr>
      </w:pPr>
      <w:r>
        <w:rPr>
          <w:rFonts w:hint="eastAsia" w:ascii="宋体" w:hAnsi="宋体" w:eastAsia="宋体"/>
          <w:sz w:val="21"/>
          <w:szCs w:val="21"/>
          <w:lang w:eastAsia="zh-CN"/>
        </w:rPr>
        <w:t>无锡嘉汉机械有限公司</w:t>
      </w:r>
    </w:p>
    <w:p>
      <w:pPr>
        <w:spacing w:line="220" w:lineRule="atLeast"/>
        <w:jc w:val="right"/>
        <w:rPr>
          <w:rFonts w:hint="eastAsia" w:ascii="宋体" w:hAnsi="宋体" w:eastAsia="宋体"/>
          <w:sz w:val="21"/>
          <w:szCs w:val="21"/>
          <w:lang w:eastAsia="zh-CN"/>
        </w:rPr>
      </w:pPr>
      <w:r>
        <w:rPr>
          <w:rFonts w:hint="eastAsia" w:ascii="宋体" w:hAnsi="宋体" w:eastAsia="宋体"/>
          <w:sz w:val="21"/>
          <w:szCs w:val="21"/>
          <w:lang w:eastAsia="zh-CN"/>
        </w:rPr>
        <w:t>20</w:t>
      </w:r>
      <w:r>
        <w:rPr>
          <w:rFonts w:hint="eastAsia" w:ascii="宋体" w:hAnsi="宋体" w:eastAsia="宋体"/>
          <w:sz w:val="21"/>
          <w:szCs w:val="21"/>
          <w:lang w:val="en-US" w:eastAsia="zh-CN"/>
        </w:rPr>
        <w:t>20</w:t>
      </w:r>
      <w:r>
        <w:rPr>
          <w:rFonts w:hint="eastAsia" w:ascii="宋体" w:hAnsi="宋体" w:eastAsia="宋体"/>
          <w:sz w:val="21"/>
          <w:szCs w:val="21"/>
          <w:lang w:eastAsia="zh-CN"/>
        </w:rPr>
        <w:t>年</w:t>
      </w:r>
      <w:r>
        <w:rPr>
          <w:rFonts w:hint="eastAsia" w:ascii="宋体" w:hAnsi="宋体" w:eastAsia="宋体"/>
          <w:sz w:val="21"/>
          <w:szCs w:val="21"/>
          <w:lang w:val="en-US" w:eastAsia="zh-CN"/>
        </w:rPr>
        <w:t>4</w:t>
      </w:r>
      <w:r>
        <w:rPr>
          <w:rFonts w:hint="eastAsia" w:ascii="宋体" w:hAnsi="宋体" w:eastAsia="宋体"/>
          <w:sz w:val="21"/>
          <w:szCs w:val="21"/>
          <w:lang w:eastAsia="zh-CN"/>
        </w:rPr>
        <w:t>月</w:t>
      </w:r>
      <w:r>
        <w:rPr>
          <w:rFonts w:hint="eastAsia" w:ascii="宋体" w:hAnsi="宋体" w:eastAsia="宋体"/>
          <w:sz w:val="21"/>
          <w:szCs w:val="21"/>
          <w:lang w:val="en-US" w:eastAsia="zh-CN"/>
        </w:rPr>
        <w:t>24</w:t>
      </w:r>
      <w:r>
        <w:rPr>
          <w:rFonts w:hint="eastAsia" w:ascii="宋体" w:hAnsi="宋体" w:eastAsia="宋体"/>
          <w:sz w:val="21"/>
          <w:szCs w:val="21"/>
          <w:lang w:eastAsia="zh-CN"/>
        </w:rPr>
        <w:t>日</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40001" w:csb1="00000000"/>
  </w:font>
  <w:font w:name="TimesNewRomanPS-BoldMT">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48623"/>
    <w:multiLevelType w:val="singleLevel"/>
    <w:tmpl w:val="89C48623"/>
    <w:lvl w:ilvl="0" w:tentative="0">
      <w:start w:val="1"/>
      <w:numFmt w:val="bullet"/>
      <w:pStyle w:val="6"/>
      <w:lvlText w:val=""/>
      <w:lvlJc w:val="left"/>
      <w:pPr>
        <w:tabs>
          <w:tab w:val="left" w:pos="2040"/>
        </w:tabs>
        <w:ind w:left="2040" w:hanging="360"/>
      </w:pPr>
      <w:rPr>
        <w:rFonts w:hint="default" w:ascii="Wingdings" w:hAnsi="Wingdings"/>
      </w:rPr>
    </w:lvl>
  </w:abstractNum>
  <w:abstractNum w:abstractNumId="1">
    <w:nsid w:val="00000008"/>
    <w:multiLevelType w:val="singleLevel"/>
    <w:tmpl w:val="00000008"/>
    <w:lvl w:ilvl="0" w:tentative="0">
      <w:start w:val="7"/>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720"/>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2CF8"/>
    <w:rsid w:val="000107CE"/>
    <w:rsid w:val="000371FD"/>
    <w:rsid w:val="000518CF"/>
    <w:rsid w:val="0005261A"/>
    <w:rsid w:val="00073FB3"/>
    <w:rsid w:val="00077FEB"/>
    <w:rsid w:val="00080879"/>
    <w:rsid w:val="00084E0B"/>
    <w:rsid w:val="00093604"/>
    <w:rsid w:val="000A46E7"/>
    <w:rsid w:val="000B3DCC"/>
    <w:rsid w:val="000C60DF"/>
    <w:rsid w:val="000E3099"/>
    <w:rsid w:val="000E4278"/>
    <w:rsid w:val="000F6317"/>
    <w:rsid w:val="00100E63"/>
    <w:rsid w:val="0010132D"/>
    <w:rsid w:val="0011248B"/>
    <w:rsid w:val="00113437"/>
    <w:rsid w:val="001361E3"/>
    <w:rsid w:val="0014145E"/>
    <w:rsid w:val="00145D09"/>
    <w:rsid w:val="00164870"/>
    <w:rsid w:val="00171C9F"/>
    <w:rsid w:val="001726EC"/>
    <w:rsid w:val="001922EF"/>
    <w:rsid w:val="0019669D"/>
    <w:rsid w:val="001A6EE2"/>
    <w:rsid w:val="001E3398"/>
    <w:rsid w:val="001F542F"/>
    <w:rsid w:val="00202F43"/>
    <w:rsid w:val="002141C9"/>
    <w:rsid w:val="002154F0"/>
    <w:rsid w:val="00217B01"/>
    <w:rsid w:val="0022265E"/>
    <w:rsid w:val="00223FD3"/>
    <w:rsid w:val="002324BB"/>
    <w:rsid w:val="002370E5"/>
    <w:rsid w:val="00241201"/>
    <w:rsid w:val="00266DEE"/>
    <w:rsid w:val="002903B1"/>
    <w:rsid w:val="00296EF8"/>
    <w:rsid w:val="002A3ADA"/>
    <w:rsid w:val="002A72BF"/>
    <w:rsid w:val="002E34C1"/>
    <w:rsid w:val="002E62D4"/>
    <w:rsid w:val="002F0A86"/>
    <w:rsid w:val="00303888"/>
    <w:rsid w:val="00310D81"/>
    <w:rsid w:val="00311851"/>
    <w:rsid w:val="00315A30"/>
    <w:rsid w:val="00323B43"/>
    <w:rsid w:val="00341974"/>
    <w:rsid w:val="003504EA"/>
    <w:rsid w:val="003741D1"/>
    <w:rsid w:val="00377A31"/>
    <w:rsid w:val="00392810"/>
    <w:rsid w:val="003955F8"/>
    <w:rsid w:val="003A254D"/>
    <w:rsid w:val="003A58F1"/>
    <w:rsid w:val="003B4113"/>
    <w:rsid w:val="003B7A01"/>
    <w:rsid w:val="003C6E6F"/>
    <w:rsid w:val="003D37D8"/>
    <w:rsid w:val="003F6069"/>
    <w:rsid w:val="00426133"/>
    <w:rsid w:val="0043380F"/>
    <w:rsid w:val="004358AB"/>
    <w:rsid w:val="0049486F"/>
    <w:rsid w:val="004A22B7"/>
    <w:rsid w:val="004B22AC"/>
    <w:rsid w:val="004C5D8D"/>
    <w:rsid w:val="004C7D7F"/>
    <w:rsid w:val="004D2A4A"/>
    <w:rsid w:val="004D76EA"/>
    <w:rsid w:val="004E3839"/>
    <w:rsid w:val="004E7B6C"/>
    <w:rsid w:val="004F0006"/>
    <w:rsid w:val="00502D7E"/>
    <w:rsid w:val="00512677"/>
    <w:rsid w:val="00515998"/>
    <w:rsid w:val="00537243"/>
    <w:rsid w:val="005449B9"/>
    <w:rsid w:val="00546A26"/>
    <w:rsid w:val="005837BF"/>
    <w:rsid w:val="00587255"/>
    <w:rsid w:val="005A4507"/>
    <w:rsid w:val="005A7E86"/>
    <w:rsid w:val="005B6942"/>
    <w:rsid w:val="005B6F6B"/>
    <w:rsid w:val="005C4B41"/>
    <w:rsid w:val="005E6EF6"/>
    <w:rsid w:val="005F353B"/>
    <w:rsid w:val="00611985"/>
    <w:rsid w:val="00613418"/>
    <w:rsid w:val="0062102A"/>
    <w:rsid w:val="00632CBF"/>
    <w:rsid w:val="00644E31"/>
    <w:rsid w:val="0066300F"/>
    <w:rsid w:val="00666C3C"/>
    <w:rsid w:val="006900C8"/>
    <w:rsid w:val="0069319D"/>
    <w:rsid w:val="006B1B6B"/>
    <w:rsid w:val="006B4547"/>
    <w:rsid w:val="006C1FEC"/>
    <w:rsid w:val="006D1318"/>
    <w:rsid w:val="006D580C"/>
    <w:rsid w:val="006E7DEE"/>
    <w:rsid w:val="00700C35"/>
    <w:rsid w:val="00714D74"/>
    <w:rsid w:val="00717CE0"/>
    <w:rsid w:val="00732608"/>
    <w:rsid w:val="00737E90"/>
    <w:rsid w:val="00754B1D"/>
    <w:rsid w:val="00760F99"/>
    <w:rsid w:val="00761E7E"/>
    <w:rsid w:val="007710DA"/>
    <w:rsid w:val="007B1768"/>
    <w:rsid w:val="007C060C"/>
    <w:rsid w:val="007C0786"/>
    <w:rsid w:val="007C2561"/>
    <w:rsid w:val="007D65E3"/>
    <w:rsid w:val="007D78B0"/>
    <w:rsid w:val="007F5CC8"/>
    <w:rsid w:val="00805FDC"/>
    <w:rsid w:val="0081396B"/>
    <w:rsid w:val="00830820"/>
    <w:rsid w:val="0084363F"/>
    <w:rsid w:val="00847831"/>
    <w:rsid w:val="008510C8"/>
    <w:rsid w:val="00883F70"/>
    <w:rsid w:val="008A53D3"/>
    <w:rsid w:val="008B7726"/>
    <w:rsid w:val="008C556A"/>
    <w:rsid w:val="00903485"/>
    <w:rsid w:val="009056EE"/>
    <w:rsid w:val="00905C83"/>
    <w:rsid w:val="0090782C"/>
    <w:rsid w:val="009104AD"/>
    <w:rsid w:val="00935F88"/>
    <w:rsid w:val="00942008"/>
    <w:rsid w:val="009515BC"/>
    <w:rsid w:val="00955888"/>
    <w:rsid w:val="00960979"/>
    <w:rsid w:val="00976D01"/>
    <w:rsid w:val="00981F89"/>
    <w:rsid w:val="009A1DE1"/>
    <w:rsid w:val="009A63BA"/>
    <w:rsid w:val="009B0833"/>
    <w:rsid w:val="009C2BFA"/>
    <w:rsid w:val="009E278D"/>
    <w:rsid w:val="009E3F8A"/>
    <w:rsid w:val="009E474A"/>
    <w:rsid w:val="009F0AAB"/>
    <w:rsid w:val="009F5B64"/>
    <w:rsid w:val="00A04B35"/>
    <w:rsid w:val="00A07E98"/>
    <w:rsid w:val="00A13EE6"/>
    <w:rsid w:val="00A2194D"/>
    <w:rsid w:val="00A35EAE"/>
    <w:rsid w:val="00A37D6F"/>
    <w:rsid w:val="00A42916"/>
    <w:rsid w:val="00A4494C"/>
    <w:rsid w:val="00A4605F"/>
    <w:rsid w:val="00A54D4C"/>
    <w:rsid w:val="00A77301"/>
    <w:rsid w:val="00A84CC3"/>
    <w:rsid w:val="00AA6C7B"/>
    <w:rsid w:val="00AB1A40"/>
    <w:rsid w:val="00AC49CF"/>
    <w:rsid w:val="00AD0017"/>
    <w:rsid w:val="00AD6EFC"/>
    <w:rsid w:val="00AF6782"/>
    <w:rsid w:val="00B13779"/>
    <w:rsid w:val="00B402EC"/>
    <w:rsid w:val="00B41DBF"/>
    <w:rsid w:val="00B451C1"/>
    <w:rsid w:val="00B459E3"/>
    <w:rsid w:val="00B617A4"/>
    <w:rsid w:val="00B70F5E"/>
    <w:rsid w:val="00B77BE4"/>
    <w:rsid w:val="00B859B2"/>
    <w:rsid w:val="00B87FA3"/>
    <w:rsid w:val="00B92EB0"/>
    <w:rsid w:val="00B9508E"/>
    <w:rsid w:val="00BA0171"/>
    <w:rsid w:val="00BB50CD"/>
    <w:rsid w:val="00BB5C2A"/>
    <w:rsid w:val="00BB694B"/>
    <w:rsid w:val="00BD3A7C"/>
    <w:rsid w:val="00BD4AFF"/>
    <w:rsid w:val="00BE462F"/>
    <w:rsid w:val="00BF257A"/>
    <w:rsid w:val="00BF2851"/>
    <w:rsid w:val="00C23F9A"/>
    <w:rsid w:val="00C252CE"/>
    <w:rsid w:val="00C26B00"/>
    <w:rsid w:val="00C53341"/>
    <w:rsid w:val="00C56BC2"/>
    <w:rsid w:val="00C63366"/>
    <w:rsid w:val="00C65335"/>
    <w:rsid w:val="00C7492F"/>
    <w:rsid w:val="00CB6458"/>
    <w:rsid w:val="00CD1F20"/>
    <w:rsid w:val="00CD2EA9"/>
    <w:rsid w:val="00CE7992"/>
    <w:rsid w:val="00CF68DA"/>
    <w:rsid w:val="00D2626E"/>
    <w:rsid w:val="00D30BFD"/>
    <w:rsid w:val="00D31D50"/>
    <w:rsid w:val="00D577C6"/>
    <w:rsid w:val="00D675F5"/>
    <w:rsid w:val="00D735A8"/>
    <w:rsid w:val="00D73A14"/>
    <w:rsid w:val="00DB6685"/>
    <w:rsid w:val="00DC0245"/>
    <w:rsid w:val="00DC24CE"/>
    <w:rsid w:val="00DC398C"/>
    <w:rsid w:val="00DC6D8A"/>
    <w:rsid w:val="00DD21F8"/>
    <w:rsid w:val="00DD4A51"/>
    <w:rsid w:val="00DE0287"/>
    <w:rsid w:val="00DF126A"/>
    <w:rsid w:val="00DF701F"/>
    <w:rsid w:val="00E0000E"/>
    <w:rsid w:val="00E25854"/>
    <w:rsid w:val="00E27722"/>
    <w:rsid w:val="00E44FA9"/>
    <w:rsid w:val="00E6107A"/>
    <w:rsid w:val="00E61419"/>
    <w:rsid w:val="00E660B0"/>
    <w:rsid w:val="00E73E87"/>
    <w:rsid w:val="00E752F9"/>
    <w:rsid w:val="00EA210D"/>
    <w:rsid w:val="00EA3600"/>
    <w:rsid w:val="00EA3B46"/>
    <w:rsid w:val="00EB24A0"/>
    <w:rsid w:val="00EC6391"/>
    <w:rsid w:val="00EE19D3"/>
    <w:rsid w:val="00EE1F29"/>
    <w:rsid w:val="00EE5372"/>
    <w:rsid w:val="00F25390"/>
    <w:rsid w:val="00F34989"/>
    <w:rsid w:val="00F353DF"/>
    <w:rsid w:val="00F37B3B"/>
    <w:rsid w:val="00F50398"/>
    <w:rsid w:val="00F736A5"/>
    <w:rsid w:val="00F74237"/>
    <w:rsid w:val="00F77DB3"/>
    <w:rsid w:val="00F87C89"/>
    <w:rsid w:val="00FC45CC"/>
    <w:rsid w:val="00FD2F2B"/>
    <w:rsid w:val="00FE5838"/>
    <w:rsid w:val="00FE6B09"/>
    <w:rsid w:val="00FF2695"/>
    <w:rsid w:val="00FF6327"/>
    <w:rsid w:val="00FF77DC"/>
    <w:rsid w:val="02B3564A"/>
    <w:rsid w:val="09416AEE"/>
    <w:rsid w:val="17210B32"/>
    <w:rsid w:val="1A1C28AE"/>
    <w:rsid w:val="1CC55F6A"/>
    <w:rsid w:val="31130420"/>
    <w:rsid w:val="348A3CE3"/>
    <w:rsid w:val="34C628DC"/>
    <w:rsid w:val="36F64F61"/>
    <w:rsid w:val="41BA12A1"/>
    <w:rsid w:val="4B6B6A2D"/>
    <w:rsid w:val="4BF74434"/>
    <w:rsid w:val="4C4E3740"/>
    <w:rsid w:val="4ED62E92"/>
    <w:rsid w:val="6F5A0EF5"/>
    <w:rsid w:val="70F3181D"/>
    <w:rsid w:val="7D461E25"/>
    <w:rsid w:val="7D762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1"/>
    </w:rPr>
    <w:tblPr>
      <w:tblCellMar>
        <w:top w:w="0" w:type="dxa"/>
        <w:left w:w="108" w:type="dxa"/>
        <w:bottom w:w="0" w:type="dxa"/>
        <w:right w:w="108" w:type="dxa"/>
      </w:tblCellMar>
    </w:tblPr>
  </w:style>
  <w:style w:type="paragraph" w:styleId="2">
    <w:name w:val="Body Text First Indent 2"/>
    <w:basedOn w:val="3"/>
    <w:next w:val="4"/>
    <w:link w:val="39"/>
    <w:semiHidden/>
    <w:unhideWhenUsed/>
    <w:qFormat/>
    <w:uiPriority w:val="99"/>
    <w:pPr>
      <w:ind w:firstLine="420" w:firstLineChars="200"/>
    </w:pPr>
  </w:style>
  <w:style w:type="paragraph" w:styleId="3">
    <w:name w:val="Body Text Indent"/>
    <w:basedOn w:val="1"/>
    <w:next w:val="1"/>
    <w:link w:val="38"/>
    <w:semiHidden/>
    <w:unhideWhenUsed/>
    <w:qFormat/>
    <w:uiPriority w:val="99"/>
    <w:pPr>
      <w:spacing w:after="120"/>
      <w:ind w:left="420" w:leftChars="200"/>
    </w:pPr>
  </w:style>
  <w:style w:type="paragraph" w:styleId="4">
    <w:name w:val="Body Text First Indent"/>
    <w:basedOn w:val="5"/>
    <w:next w:val="1"/>
    <w:unhideWhenUsed/>
    <w:qFormat/>
    <w:uiPriority w:val="99"/>
    <w:pPr>
      <w:ind w:firstLine="420" w:firstLineChars="100"/>
    </w:pPr>
  </w:style>
  <w:style w:type="paragraph" w:styleId="5">
    <w:name w:val="Body Text"/>
    <w:basedOn w:val="1"/>
    <w:next w:val="6"/>
    <w:link w:val="27"/>
    <w:qFormat/>
    <w:uiPriority w:val="99"/>
    <w:pPr>
      <w:widowControl w:val="0"/>
      <w:adjustRightInd/>
      <w:snapToGrid/>
      <w:spacing w:after="0"/>
      <w:jc w:val="both"/>
    </w:pPr>
    <w:rPr>
      <w:rFonts w:ascii="Calibri" w:hAnsi="Calibri" w:eastAsia="宋体" w:cs="Times New Roman"/>
      <w:kern w:val="2"/>
      <w:sz w:val="18"/>
      <w:szCs w:val="24"/>
    </w:rPr>
  </w:style>
  <w:style w:type="paragraph" w:styleId="6">
    <w:name w:val="List Bullet 5"/>
    <w:basedOn w:val="1"/>
    <w:semiHidden/>
    <w:unhideWhenUsed/>
    <w:qFormat/>
    <w:uiPriority w:val="99"/>
    <w:pPr>
      <w:numPr>
        <w:ilvl w:val="0"/>
        <w:numId w:val="1"/>
      </w:numPr>
    </w:pPr>
  </w:style>
  <w:style w:type="paragraph" w:styleId="7">
    <w:name w:val="annotation text"/>
    <w:basedOn w:val="1"/>
    <w:link w:val="35"/>
    <w:qFormat/>
    <w:uiPriority w:val="0"/>
    <w:pPr>
      <w:widowControl w:val="0"/>
      <w:adjustRightInd/>
      <w:snapToGrid/>
      <w:spacing w:after="0"/>
    </w:pPr>
    <w:rPr>
      <w:rFonts w:asciiTheme="minorHAnsi" w:hAnsiTheme="minorHAnsi"/>
      <w:kern w:val="2"/>
      <w:sz w:val="21"/>
      <w:szCs w:val="24"/>
    </w:rPr>
  </w:style>
  <w:style w:type="paragraph" w:styleId="8">
    <w:name w:val="Plain Text"/>
    <w:basedOn w:val="1"/>
    <w:link w:val="42"/>
    <w:qFormat/>
    <w:uiPriority w:val="0"/>
    <w:pPr>
      <w:adjustRightInd/>
      <w:snapToGrid/>
      <w:spacing w:after="0" w:line="360" w:lineRule="auto"/>
    </w:pPr>
    <w:rPr>
      <w:rFonts w:ascii="宋体" w:hAnsi="Courier New" w:cs="Courier New"/>
      <w:kern w:val="2"/>
      <w:sz w:val="21"/>
      <w:szCs w:val="21"/>
      <w:lang w:eastAsia="en-US" w:bidi="en-US"/>
    </w:rPr>
  </w:style>
  <w:style w:type="paragraph" w:styleId="9">
    <w:name w:val="Balloon Text"/>
    <w:basedOn w:val="1"/>
    <w:link w:val="26"/>
    <w:semiHidden/>
    <w:unhideWhenUsed/>
    <w:qFormat/>
    <w:uiPriority w:val="99"/>
    <w:pPr>
      <w:spacing w:after="0"/>
    </w:pPr>
    <w:rPr>
      <w:sz w:val="18"/>
      <w:szCs w:val="18"/>
    </w:rPr>
  </w:style>
  <w:style w:type="paragraph" w:styleId="10">
    <w:name w:val="footer"/>
    <w:basedOn w:val="1"/>
    <w:link w:val="19"/>
    <w:unhideWhenUsed/>
    <w:qFormat/>
    <w:uiPriority w:val="99"/>
    <w:pPr>
      <w:tabs>
        <w:tab w:val="center" w:pos="4153"/>
        <w:tab w:val="right" w:pos="8306"/>
      </w:tabs>
    </w:pPr>
    <w:rPr>
      <w:sz w:val="18"/>
      <w:szCs w:val="18"/>
    </w:rPr>
  </w:style>
  <w:style w:type="paragraph" w:styleId="11">
    <w:name w:val="header"/>
    <w:basedOn w:val="1"/>
    <w:link w:val="18"/>
    <w:semiHidden/>
    <w:unhideWhenUsed/>
    <w:qFormat/>
    <w:uiPriority w:val="99"/>
    <w:pPr>
      <w:pBdr>
        <w:bottom w:val="single" w:color="auto" w:sz="6" w:space="1"/>
      </w:pBdr>
      <w:tabs>
        <w:tab w:val="center" w:pos="4153"/>
        <w:tab w:val="right" w:pos="8306"/>
      </w:tabs>
      <w:jc w:val="center"/>
    </w:pPr>
    <w:rPr>
      <w:sz w:val="18"/>
      <w:szCs w:val="18"/>
    </w:rPr>
  </w:style>
  <w:style w:type="paragraph" w:styleId="12">
    <w:name w:val="Normal (Web)"/>
    <w:basedOn w:val="1"/>
    <w:semiHidden/>
    <w:unhideWhenUsed/>
    <w:qFormat/>
    <w:uiPriority w:val="99"/>
    <w:rPr>
      <w:sz w:val="24"/>
    </w:rPr>
  </w:style>
  <w:style w:type="paragraph" w:styleId="13">
    <w:name w:val="index 1"/>
    <w:basedOn w:val="1"/>
    <w:next w:val="1"/>
    <w:semiHidden/>
    <w:qFormat/>
    <w:uiPriority w:val="0"/>
    <w:pPr>
      <w:widowControl w:val="0"/>
      <w:spacing w:after="0"/>
      <w:jc w:val="center"/>
    </w:pPr>
    <w:rPr>
      <w:rFonts w:ascii="宋体" w:hAnsi="宋体" w:eastAsia="宋体" w:cs="Times New Roman"/>
      <w:kern w:val="2"/>
      <w:sz w:val="21"/>
      <w:szCs w:val="24"/>
    </w:rPr>
  </w:style>
  <w:style w:type="table" w:styleId="15">
    <w:name w:val="Table Grid"/>
    <w:basedOn w:val="14"/>
    <w:qFormat/>
    <w:uiPriority w:val="0"/>
    <w:pPr>
      <w:widowControl w:val="0"/>
      <w:spacing w:after="0" w:line="240" w:lineRule="auto"/>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annotation reference"/>
    <w:qFormat/>
    <w:uiPriority w:val="0"/>
    <w:rPr>
      <w:sz w:val="21"/>
      <w:szCs w:val="21"/>
    </w:rPr>
  </w:style>
  <w:style w:type="character" w:customStyle="1" w:styleId="18">
    <w:name w:val="页眉 Char"/>
    <w:basedOn w:val="16"/>
    <w:link w:val="11"/>
    <w:semiHidden/>
    <w:qFormat/>
    <w:uiPriority w:val="99"/>
    <w:rPr>
      <w:rFonts w:ascii="Tahoma" w:hAnsi="Tahoma"/>
      <w:sz w:val="18"/>
      <w:szCs w:val="18"/>
    </w:rPr>
  </w:style>
  <w:style w:type="character" w:customStyle="1" w:styleId="19">
    <w:name w:val="页脚 Char"/>
    <w:basedOn w:val="16"/>
    <w:link w:val="10"/>
    <w:qFormat/>
    <w:uiPriority w:val="99"/>
    <w:rPr>
      <w:rFonts w:ascii="Tahoma" w:hAnsi="Tahoma"/>
      <w:sz w:val="18"/>
      <w:szCs w:val="18"/>
    </w:rPr>
  </w:style>
  <w:style w:type="paragraph" w:customStyle="1" w:styleId="20">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21">
    <w:name w:val="Default"/>
    <w:qFormat/>
    <w:uiPriority w:val="0"/>
    <w:pPr>
      <w:widowControl w:val="0"/>
      <w:autoSpaceDE w:val="0"/>
      <w:autoSpaceDN w:val="0"/>
      <w:adjustRightInd w:val="0"/>
      <w:spacing w:after="0" w:line="240" w:lineRule="auto"/>
    </w:pPr>
    <w:rPr>
      <w:rFonts w:ascii="宋体" w:hAnsi="Calibri" w:eastAsia="宋体" w:cs="宋体"/>
      <w:color w:val="000000"/>
      <w:sz w:val="24"/>
      <w:szCs w:val="24"/>
      <w:lang w:val="en-US" w:eastAsia="zh-CN" w:bidi="ar-SA"/>
    </w:rPr>
  </w:style>
  <w:style w:type="paragraph" w:customStyle="1" w:styleId="22">
    <w:name w:val="小四表文左齐"/>
    <w:basedOn w:val="1"/>
    <w:qFormat/>
    <w:uiPriority w:val="0"/>
    <w:pPr>
      <w:widowControl w:val="0"/>
      <w:adjustRightInd/>
      <w:snapToGrid/>
      <w:spacing w:after="0"/>
      <w:jc w:val="both"/>
    </w:pPr>
    <w:rPr>
      <w:rFonts w:ascii="宋体" w:hAnsi="宋体" w:eastAsia="宋体" w:cs="Times New Roman"/>
      <w:kern w:val="2"/>
      <w:sz w:val="18"/>
      <w:szCs w:val="18"/>
    </w:rPr>
  </w:style>
  <w:style w:type="character" w:customStyle="1" w:styleId="23">
    <w:name w:val="fontstyle01"/>
    <w:basedOn w:val="16"/>
    <w:qFormat/>
    <w:uiPriority w:val="0"/>
    <w:rPr>
      <w:rFonts w:hint="eastAsia" w:ascii="宋体" w:hAnsi="宋体" w:eastAsia="宋体"/>
      <w:color w:val="000000"/>
      <w:sz w:val="24"/>
      <w:szCs w:val="24"/>
    </w:rPr>
  </w:style>
  <w:style w:type="character" w:customStyle="1" w:styleId="24">
    <w:name w:val="fontstyle21"/>
    <w:basedOn w:val="16"/>
    <w:qFormat/>
    <w:uiPriority w:val="0"/>
    <w:rPr>
      <w:rFonts w:hint="default" w:ascii="TimesNewRomanPSMT" w:hAnsi="TimesNewRomanPSMT"/>
      <w:color w:val="000000"/>
      <w:sz w:val="22"/>
      <w:szCs w:val="22"/>
    </w:rPr>
  </w:style>
  <w:style w:type="character" w:customStyle="1" w:styleId="25">
    <w:name w:val="fontstyle31"/>
    <w:basedOn w:val="16"/>
    <w:qFormat/>
    <w:uiPriority w:val="0"/>
    <w:rPr>
      <w:rFonts w:hint="default" w:ascii="TimesNewRomanPS-BoldMT" w:hAnsi="TimesNewRomanPS-BoldMT"/>
      <w:b/>
      <w:bCs/>
      <w:color w:val="000000"/>
      <w:sz w:val="24"/>
      <w:szCs w:val="24"/>
    </w:rPr>
  </w:style>
  <w:style w:type="character" w:customStyle="1" w:styleId="26">
    <w:name w:val="批注框文本 Char"/>
    <w:basedOn w:val="16"/>
    <w:link w:val="9"/>
    <w:semiHidden/>
    <w:qFormat/>
    <w:uiPriority w:val="99"/>
    <w:rPr>
      <w:rFonts w:ascii="Tahoma" w:hAnsi="Tahoma"/>
      <w:sz w:val="18"/>
      <w:szCs w:val="18"/>
    </w:rPr>
  </w:style>
  <w:style w:type="character" w:customStyle="1" w:styleId="27">
    <w:name w:val="正文文本 Char"/>
    <w:basedOn w:val="16"/>
    <w:link w:val="5"/>
    <w:qFormat/>
    <w:uiPriority w:val="99"/>
    <w:rPr>
      <w:rFonts w:ascii="Calibri" w:hAnsi="Calibri" w:eastAsia="宋体" w:cs="Times New Roman"/>
      <w:kern w:val="2"/>
      <w:sz w:val="18"/>
      <w:szCs w:val="24"/>
    </w:rPr>
  </w:style>
  <w:style w:type="table" w:customStyle="1" w:styleId="28">
    <w:name w:val="Table Normal"/>
    <w:semiHidden/>
    <w:unhideWhenUsed/>
    <w:qFormat/>
    <w:uiPriority w:val="2"/>
    <w:pPr>
      <w:widowControl w:val="0"/>
      <w:autoSpaceDE w:val="0"/>
      <w:autoSpaceDN w:val="0"/>
      <w:spacing w:after="0" w:line="240" w:lineRule="auto"/>
    </w:pPr>
    <w:rPr>
      <w:rFonts w:eastAsiaTheme="minorEastAsia"/>
      <w:lang w:eastAsia="en-US"/>
    </w:rPr>
    <w:tblPr>
      <w:tblCellMar>
        <w:top w:w="0" w:type="dxa"/>
        <w:left w:w="0" w:type="dxa"/>
        <w:bottom w:w="0" w:type="dxa"/>
        <w:right w:w="0" w:type="dxa"/>
      </w:tblCellMar>
    </w:tblPr>
  </w:style>
  <w:style w:type="paragraph" w:customStyle="1" w:styleId="29">
    <w:name w:val="Table Paragraph"/>
    <w:basedOn w:val="1"/>
    <w:qFormat/>
    <w:uiPriority w:val="1"/>
    <w:pPr>
      <w:widowControl w:val="0"/>
      <w:autoSpaceDE w:val="0"/>
      <w:autoSpaceDN w:val="0"/>
      <w:adjustRightInd/>
      <w:snapToGrid/>
      <w:spacing w:after="0"/>
    </w:pPr>
    <w:rPr>
      <w:rFonts w:ascii="宋体" w:hAnsi="宋体" w:eastAsia="宋体" w:cs="宋体"/>
      <w:lang w:eastAsia="en-US"/>
    </w:rPr>
  </w:style>
  <w:style w:type="paragraph" w:customStyle="1" w:styleId="30">
    <w:name w:val="Revision"/>
    <w:hidden/>
    <w:semiHidden/>
    <w:qFormat/>
    <w:uiPriority w:val="99"/>
    <w:pPr>
      <w:spacing w:after="0" w:line="240" w:lineRule="auto"/>
    </w:pPr>
    <w:rPr>
      <w:rFonts w:ascii="Tahoma" w:hAnsi="Tahoma" w:eastAsia="微软雅黑" w:cstheme="minorBidi"/>
      <w:sz w:val="22"/>
      <w:szCs w:val="22"/>
      <w:lang w:val="en-US" w:eastAsia="zh-CN" w:bidi="ar-SA"/>
    </w:rPr>
  </w:style>
  <w:style w:type="character" w:customStyle="1" w:styleId="31">
    <w:name w:val="页码1"/>
    <w:basedOn w:val="16"/>
    <w:qFormat/>
    <w:uiPriority w:val="0"/>
  </w:style>
  <w:style w:type="paragraph" w:customStyle="1" w:styleId="32">
    <w:name w:val="xl22"/>
    <w:basedOn w:val="1"/>
    <w:qFormat/>
    <w:uiPriority w:val="99"/>
    <w:pPr>
      <w:pBdr>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cs="Arial Unicode MS"/>
      <w:sz w:val="21"/>
      <w:szCs w:val="21"/>
    </w:rPr>
  </w:style>
  <w:style w:type="paragraph" w:customStyle="1" w:styleId="33">
    <w:name w:val="xl24"/>
    <w:basedOn w:val="1"/>
    <w:qFormat/>
    <w:uiPriority w:val="0"/>
    <w:pPr>
      <w:pBdr>
        <w:bottom w:val="single" w:color="auto" w:sz="4" w:space="0"/>
        <w:right w:val="single" w:color="auto" w:sz="4" w:space="0"/>
      </w:pBdr>
      <w:adjustRightInd/>
      <w:snapToGrid/>
      <w:spacing w:before="100" w:beforeAutospacing="1" w:after="100" w:afterAutospacing="1"/>
      <w:jc w:val="center"/>
    </w:pPr>
    <w:rPr>
      <w:rFonts w:ascii="Times New Roman" w:hAnsi="Times New Roman" w:eastAsia="Arial Unicode MS" w:cs="Times New Roman"/>
      <w:sz w:val="24"/>
      <w:szCs w:val="24"/>
    </w:rPr>
  </w:style>
  <w:style w:type="character" w:customStyle="1" w:styleId="34">
    <w:name w:val="批注文字 Char"/>
    <w:link w:val="7"/>
    <w:qFormat/>
    <w:uiPriority w:val="0"/>
    <w:rPr>
      <w:kern w:val="2"/>
      <w:sz w:val="21"/>
      <w:szCs w:val="24"/>
    </w:rPr>
  </w:style>
  <w:style w:type="character" w:customStyle="1" w:styleId="35">
    <w:name w:val="批注文字 Char1"/>
    <w:basedOn w:val="16"/>
    <w:link w:val="7"/>
    <w:semiHidden/>
    <w:qFormat/>
    <w:uiPriority w:val="99"/>
    <w:rPr>
      <w:rFonts w:ascii="Tahoma" w:hAnsi="Tahoma"/>
    </w:rPr>
  </w:style>
  <w:style w:type="character" w:customStyle="1" w:styleId="36">
    <w:name w:val="页码2"/>
    <w:basedOn w:val="16"/>
    <w:qFormat/>
    <w:uiPriority w:val="0"/>
  </w:style>
  <w:style w:type="character" w:customStyle="1" w:styleId="37">
    <w:name w:val="by12h1"/>
    <w:basedOn w:val="16"/>
    <w:qFormat/>
    <w:uiPriority w:val="99"/>
    <w:rPr>
      <w:rFonts w:ascii="宋体" w:hAnsi="宋体" w:eastAsia="宋体" w:cs="Times New Roman"/>
      <w:kern w:val="0"/>
      <w:sz w:val="18"/>
      <w:szCs w:val="18"/>
    </w:rPr>
  </w:style>
  <w:style w:type="character" w:customStyle="1" w:styleId="38">
    <w:name w:val="正文文本缩进 Char"/>
    <w:basedOn w:val="16"/>
    <w:link w:val="3"/>
    <w:semiHidden/>
    <w:qFormat/>
    <w:uiPriority w:val="99"/>
    <w:rPr>
      <w:rFonts w:ascii="Tahoma" w:hAnsi="Tahoma"/>
    </w:rPr>
  </w:style>
  <w:style w:type="character" w:customStyle="1" w:styleId="39">
    <w:name w:val="正文首行缩进 2 Char"/>
    <w:basedOn w:val="38"/>
    <w:link w:val="2"/>
    <w:semiHidden/>
    <w:qFormat/>
    <w:uiPriority w:val="99"/>
  </w:style>
  <w:style w:type="character" w:customStyle="1" w:styleId="40">
    <w:name w:val="批注文字 字符"/>
    <w:qFormat/>
    <w:uiPriority w:val="0"/>
    <w:rPr>
      <w:kern w:val="2"/>
      <w:sz w:val="21"/>
      <w:szCs w:val="24"/>
    </w:rPr>
  </w:style>
  <w:style w:type="character" w:customStyle="1" w:styleId="41">
    <w:name w:val="纯文本 Char1"/>
    <w:link w:val="8"/>
    <w:qFormat/>
    <w:uiPriority w:val="0"/>
    <w:rPr>
      <w:rFonts w:ascii="宋体" w:hAnsi="Courier New" w:cs="Courier New"/>
      <w:kern w:val="2"/>
      <w:sz w:val="21"/>
      <w:szCs w:val="21"/>
      <w:lang w:eastAsia="en-US" w:bidi="en-US"/>
    </w:rPr>
  </w:style>
  <w:style w:type="character" w:customStyle="1" w:styleId="42">
    <w:name w:val="纯文本 Char"/>
    <w:basedOn w:val="16"/>
    <w:link w:val="8"/>
    <w:semiHidden/>
    <w:qFormat/>
    <w:uiPriority w:val="99"/>
    <w:rPr>
      <w:rFonts w:ascii="宋体" w:hAnsi="Courier New" w:eastAsia="宋体" w:cs="Courier New"/>
      <w:sz w:val="21"/>
      <w:szCs w:val="21"/>
    </w:rPr>
  </w:style>
  <w:style w:type="character" w:customStyle="1" w:styleId="43">
    <w:name w:val="font01"/>
    <w:qFormat/>
    <w:uiPriority w:val="0"/>
    <w:rPr>
      <w:rFonts w:hint="default" w:ascii="Times New Roman" w:hAnsi="Times New Roman" w:cs="Times New Roman"/>
      <w:color w:val="000000"/>
      <w:sz w:val="21"/>
      <w:szCs w:val="21"/>
      <w:u w:val="none"/>
    </w:rPr>
  </w:style>
  <w:style w:type="paragraph" w:customStyle="1" w:styleId="44">
    <w:name w:val="表格文字"/>
    <w:basedOn w:val="1"/>
    <w:qFormat/>
    <w:uiPriority w:val="0"/>
  </w:style>
  <w:style w:type="paragraph" w:customStyle="1" w:styleId="45">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93F52F-89BF-40B9-AA8D-2F932E847620}">
  <ds:schemaRefs/>
</ds:datastoreItem>
</file>

<file path=docProps/app.xml><?xml version="1.0" encoding="utf-8"?>
<Properties xmlns="http://schemas.openxmlformats.org/officeDocument/2006/extended-properties" xmlns:vt="http://schemas.openxmlformats.org/officeDocument/2006/docPropsVTypes">
  <Template>Normal</Template>
  <Pages>1</Pages>
  <Words>2208</Words>
  <Characters>2434</Characters>
  <Lines>1</Lines>
  <Paragraphs>1</Paragraphs>
  <TotalTime>4</TotalTime>
  <ScaleCrop>false</ScaleCrop>
  <LinksUpToDate>false</LinksUpToDate>
  <CharactersWithSpaces>2439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01</dc:creator>
  <cp:lastModifiedBy>镜中的く 古月</cp:lastModifiedBy>
  <dcterms:modified xsi:type="dcterms:W3CDTF">2021-06-03T08:51:25Z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08F5DEF13E454F8B918A408BDE97D4DB</vt:lpwstr>
  </property>
</Properties>
</file>