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0" w:beforeAutospacing="0" w:after="0" w:afterAutospacing="0" w:line="276" w:lineRule="auto"/>
        <w:ind w:firstLine="643" w:firstLineChars="200"/>
        <w:jc w:val="center"/>
        <w:outlineLvl w:val="0"/>
        <w:rPr>
          <w:rFonts w:hint="eastAsia"/>
          <w:b/>
          <w:color w:val="000000"/>
          <w:sz w:val="32"/>
          <w:szCs w:val="32"/>
          <w:lang w:eastAsia="zh-CN"/>
        </w:rPr>
      </w:pPr>
      <w:r>
        <w:rPr>
          <w:rFonts w:hint="eastAsia"/>
          <w:b/>
          <w:color w:val="000000"/>
          <w:sz w:val="32"/>
          <w:szCs w:val="32"/>
          <w:lang w:eastAsia="zh-CN"/>
        </w:rPr>
        <w:t>无锡茂杰机械制造有限公司</w:t>
      </w:r>
    </w:p>
    <w:p>
      <w:pPr>
        <w:pStyle w:val="20"/>
        <w:spacing w:before="0" w:beforeAutospacing="0" w:after="0" w:afterAutospacing="0" w:line="276" w:lineRule="auto"/>
        <w:ind w:firstLine="643" w:firstLineChars="200"/>
        <w:jc w:val="center"/>
        <w:outlineLvl w:val="0"/>
        <w:rPr>
          <w:rFonts w:hint="eastAsia"/>
          <w:b/>
          <w:color w:val="000000"/>
          <w:sz w:val="32"/>
          <w:szCs w:val="32"/>
          <w:lang w:eastAsia="zh-CN"/>
        </w:rPr>
      </w:pPr>
      <w:r>
        <w:rPr>
          <w:rFonts w:hint="eastAsia"/>
          <w:b/>
          <w:color w:val="000000"/>
          <w:sz w:val="32"/>
          <w:szCs w:val="32"/>
          <w:lang w:eastAsia="zh-CN"/>
        </w:rPr>
        <w:t>工程机械配套件、焊接件生产线的技术改造项目</w:t>
      </w:r>
    </w:p>
    <w:p>
      <w:pPr>
        <w:pStyle w:val="20"/>
        <w:spacing w:before="0" w:beforeAutospacing="0" w:after="0" w:afterAutospacing="0" w:line="276" w:lineRule="auto"/>
        <w:ind w:firstLine="643" w:firstLineChars="200"/>
        <w:jc w:val="center"/>
        <w:outlineLvl w:val="0"/>
        <w:rPr>
          <w:b/>
          <w:color w:val="000000"/>
          <w:sz w:val="32"/>
          <w:szCs w:val="32"/>
        </w:rPr>
      </w:pPr>
      <w:r>
        <w:rPr>
          <w:rFonts w:hint="eastAsia"/>
          <w:b/>
          <w:color w:val="000000"/>
          <w:sz w:val="32"/>
          <w:szCs w:val="32"/>
        </w:rPr>
        <w:t>竣工环境保护</w:t>
      </w:r>
      <w:r>
        <w:rPr>
          <w:b/>
          <w:color w:val="000000"/>
          <w:sz w:val="32"/>
          <w:szCs w:val="32"/>
        </w:rPr>
        <w:t>验收</w:t>
      </w:r>
      <w:r>
        <w:rPr>
          <w:rFonts w:hint="eastAsia"/>
          <w:b/>
          <w:color w:val="000000"/>
          <w:sz w:val="32"/>
          <w:szCs w:val="32"/>
        </w:rPr>
        <w:t>意见</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20</w:t>
      </w:r>
      <w:r>
        <w:rPr>
          <w:rFonts w:hint="eastAsia"/>
          <w:color w:val="000000"/>
          <w:sz w:val="21"/>
          <w:szCs w:val="21"/>
          <w:lang w:val="en-US" w:eastAsia="zh-CN"/>
        </w:rPr>
        <w:t>21</w:t>
      </w:r>
      <w:r>
        <w:rPr>
          <w:rFonts w:hint="eastAsia"/>
          <w:color w:val="000000"/>
          <w:sz w:val="21"/>
          <w:szCs w:val="21"/>
        </w:rPr>
        <w:t>年</w:t>
      </w:r>
      <w:r>
        <w:rPr>
          <w:rFonts w:hint="eastAsia"/>
          <w:color w:val="000000"/>
          <w:sz w:val="21"/>
          <w:szCs w:val="21"/>
          <w:lang w:val="en-US" w:eastAsia="zh-CN"/>
        </w:rPr>
        <w:t>6</w:t>
      </w:r>
      <w:r>
        <w:rPr>
          <w:rFonts w:hint="eastAsia"/>
          <w:color w:val="000000"/>
          <w:sz w:val="21"/>
          <w:szCs w:val="21"/>
        </w:rPr>
        <w:t>月</w:t>
      </w:r>
      <w:r>
        <w:rPr>
          <w:rFonts w:hint="eastAsia"/>
          <w:color w:val="000000"/>
          <w:sz w:val="21"/>
          <w:szCs w:val="21"/>
          <w:lang w:val="en-US" w:eastAsia="zh-CN"/>
        </w:rPr>
        <w:t>4</w:t>
      </w:r>
      <w:r>
        <w:rPr>
          <w:rFonts w:hint="eastAsia"/>
          <w:color w:val="000000"/>
          <w:sz w:val="21"/>
          <w:szCs w:val="21"/>
        </w:rPr>
        <w:t>日</w:t>
      </w:r>
      <w:r>
        <w:rPr>
          <w:color w:val="000000"/>
          <w:sz w:val="21"/>
          <w:szCs w:val="21"/>
        </w:rPr>
        <w:t>，</w:t>
      </w:r>
      <w:r>
        <w:rPr>
          <w:rFonts w:hint="eastAsia"/>
          <w:color w:val="000000"/>
          <w:sz w:val="21"/>
          <w:szCs w:val="21"/>
          <w:lang w:eastAsia="zh-CN"/>
        </w:rPr>
        <w:t>无锡茂杰机械制造有限公司</w:t>
      </w:r>
      <w:r>
        <w:rPr>
          <w:rFonts w:hint="eastAsia"/>
          <w:color w:val="000000"/>
          <w:sz w:val="21"/>
          <w:szCs w:val="21"/>
        </w:rPr>
        <w:t>根据</w:t>
      </w:r>
      <w:r>
        <w:rPr>
          <w:rFonts w:hint="eastAsia"/>
          <w:color w:val="000000"/>
          <w:sz w:val="21"/>
          <w:szCs w:val="21"/>
          <w:lang w:eastAsia="zh-CN"/>
        </w:rPr>
        <w:t>工程机械配套件、焊接件生产线的技术改造项目</w:t>
      </w:r>
      <w:r>
        <w:rPr>
          <w:color w:val="000000"/>
          <w:sz w:val="21"/>
          <w:szCs w:val="21"/>
        </w:rPr>
        <w:t>竣工环境保护</w:t>
      </w:r>
      <w:r>
        <w:rPr>
          <w:rFonts w:hint="eastAsia"/>
          <w:color w:val="000000"/>
          <w:sz w:val="21"/>
          <w:szCs w:val="21"/>
        </w:rPr>
        <w:t xml:space="preserve">验收监测报告（表）并对照《建设项目竣工环境保护验收暂行办法》，严格依照国家有关法律法规、建设项目竣工环境保护验收技术规范/指南、本项目环境影响评价报告书（表）和审批部门审批决定等要求对本项目进行验收，提出意见如下： </w:t>
      </w:r>
    </w:p>
    <w:p>
      <w:pPr>
        <w:pStyle w:val="21"/>
        <w:spacing w:line="360" w:lineRule="auto"/>
        <w:ind w:firstLine="422" w:firstLineChars="200"/>
        <w:rPr>
          <w:rFonts w:hAnsi="宋体"/>
          <w:b/>
          <w:sz w:val="21"/>
          <w:szCs w:val="21"/>
        </w:rPr>
      </w:pPr>
      <w:r>
        <w:rPr>
          <w:rFonts w:hint="eastAsia" w:hAnsi="宋体"/>
          <w:b/>
          <w:sz w:val="21"/>
          <w:szCs w:val="21"/>
        </w:rPr>
        <w:t>一、工程建设基本情况</w:t>
      </w:r>
    </w:p>
    <w:p>
      <w:pPr>
        <w:pStyle w:val="21"/>
        <w:spacing w:line="360" w:lineRule="auto"/>
        <w:ind w:firstLine="420" w:firstLineChars="200"/>
        <w:rPr>
          <w:rFonts w:hAnsi="宋体"/>
          <w:sz w:val="21"/>
          <w:szCs w:val="21"/>
        </w:rPr>
      </w:pPr>
      <w:r>
        <w:rPr>
          <w:rFonts w:hint="eastAsia" w:hAnsi="宋体"/>
          <w:sz w:val="21"/>
          <w:szCs w:val="21"/>
        </w:rPr>
        <w:t>（一）建设地点、规模、主要建设内容</w:t>
      </w:r>
    </w:p>
    <w:p>
      <w:pPr>
        <w:pStyle w:val="21"/>
        <w:spacing w:line="360" w:lineRule="auto"/>
        <w:ind w:firstLine="420" w:firstLineChars="200"/>
        <w:rPr>
          <w:rFonts w:hAnsi="宋体"/>
          <w:sz w:val="21"/>
          <w:szCs w:val="21"/>
        </w:rPr>
      </w:pPr>
      <w:r>
        <w:rPr>
          <w:rFonts w:hint="eastAsia" w:hAnsi="宋体"/>
          <w:sz w:val="21"/>
          <w:szCs w:val="21"/>
          <w:lang w:eastAsia="zh-CN"/>
        </w:rPr>
        <w:t>无锡茂杰机械制造有限公司</w:t>
      </w:r>
      <w:r>
        <w:rPr>
          <w:rFonts w:hint="eastAsia" w:hAnsi="宋体"/>
          <w:sz w:val="21"/>
          <w:szCs w:val="21"/>
        </w:rPr>
        <w:t>位于无锡市惠山区阳山镇花园村，公司注册成立于20</w:t>
      </w:r>
      <w:r>
        <w:rPr>
          <w:rFonts w:hint="eastAsia" w:hAnsi="宋体"/>
          <w:sz w:val="21"/>
          <w:szCs w:val="21"/>
          <w:lang w:val="en-US" w:eastAsia="zh-CN"/>
        </w:rPr>
        <w:t>02</w:t>
      </w:r>
      <w:r>
        <w:rPr>
          <w:rFonts w:hint="eastAsia" w:hAnsi="宋体"/>
          <w:sz w:val="21"/>
          <w:szCs w:val="21"/>
        </w:rPr>
        <w:t>年</w:t>
      </w:r>
      <w:r>
        <w:rPr>
          <w:rFonts w:hint="eastAsia" w:hAnsi="宋体"/>
          <w:sz w:val="21"/>
          <w:szCs w:val="21"/>
          <w:lang w:val="en-US" w:eastAsia="zh-CN"/>
        </w:rPr>
        <w:t>12</w:t>
      </w:r>
      <w:r>
        <w:rPr>
          <w:rFonts w:hint="eastAsia" w:hAnsi="宋体"/>
          <w:sz w:val="21"/>
          <w:szCs w:val="21"/>
        </w:rPr>
        <w:t>月。公司性质为</w:t>
      </w:r>
      <w:r>
        <w:rPr>
          <w:rFonts w:hint="eastAsia" w:hAnsi="宋体"/>
          <w:sz w:val="21"/>
          <w:szCs w:val="21"/>
          <w:lang w:val="en-US" w:eastAsia="zh-CN"/>
        </w:rPr>
        <w:t>有限责任公司</w:t>
      </w:r>
      <w:r>
        <w:rPr>
          <w:rFonts w:hint="eastAsia" w:hAnsi="宋体"/>
          <w:sz w:val="21"/>
          <w:szCs w:val="21"/>
        </w:rPr>
        <w:t>，公司主要从事工程机械配套件、焊接件</w:t>
      </w:r>
      <w:r>
        <w:rPr>
          <w:rFonts w:hint="eastAsia"/>
          <w:color w:val="000000"/>
          <w:sz w:val="21"/>
          <w:szCs w:val="21"/>
          <w:lang w:val="en-US" w:eastAsia="zh-CN"/>
        </w:rPr>
        <w:t>的</w:t>
      </w:r>
      <w:r>
        <w:rPr>
          <w:rFonts w:hint="eastAsia" w:hAnsi="宋体"/>
          <w:sz w:val="21"/>
          <w:szCs w:val="21"/>
          <w:lang w:val="en-US" w:eastAsia="zh-CN"/>
        </w:rPr>
        <w:t>生产</w:t>
      </w:r>
      <w:r>
        <w:rPr>
          <w:rFonts w:hint="eastAsia" w:hAnsi="宋体"/>
          <w:sz w:val="21"/>
          <w:szCs w:val="21"/>
        </w:rPr>
        <w:t>，目前已形成年产工程机械及配套件8000吨、焊接件2000吨的生产规模。公司固定资产</w:t>
      </w:r>
      <w:r>
        <w:rPr>
          <w:rFonts w:hint="eastAsia" w:hAnsi="宋体"/>
          <w:sz w:val="21"/>
          <w:szCs w:val="21"/>
          <w:lang w:val="en-US" w:eastAsia="zh-CN"/>
        </w:rPr>
        <w:t>1700</w:t>
      </w:r>
      <w:r>
        <w:rPr>
          <w:rFonts w:hint="eastAsia" w:hAnsi="宋体"/>
          <w:sz w:val="21"/>
          <w:szCs w:val="21"/>
        </w:rPr>
        <w:t>万元，员工</w:t>
      </w:r>
      <w:r>
        <w:rPr>
          <w:rFonts w:hint="eastAsia" w:hAnsi="宋体"/>
          <w:sz w:val="21"/>
          <w:szCs w:val="21"/>
          <w:lang w:val="en-US" w:eastAsia="zh-CN"/>
        </w:rPr>
        <w:t>90</w:t>
      </w:r>
      <w:r>
        <w:rPr>
          <w:rFonts w:hint="eastAsia" w:hAnsi="宋体"/>
          <w:sz w:val="21"/>
          <w:szCs w:val="21"/>
        </w:rPr>
        <w:t>人。</w:t>
      </w:r>
    </w:p>
    <w:p>
      <w:pPr>
        <w:pStyle w:val="21"/>
        <w:spacing w:line="360" w:lineRule="auto"/>
        <w:ind w:firstLine="420" w:firstLineChars="200"/>
        <w:rPr>
          <w:rFonts w:hAnsi="宋体"/>
          <w:sz w:val="21"/>
          <w:szCs w:val="21"/>
        </w:rPr>
      </w:pPr>
      <w:r>
        <w:rPr>
          <w:rFonts w:hint="eastAsia" w:hAnsi="宋体"/>
          <w:sz w:val="21"/>
          <w:szCs w:val="21"/>
        </w:rPr>
        <w:t>（二）建设过程及环保审批情况</w:t>
      </w:r>
    </w:p>
    <w:p>
      <w:pPr>
        <w:pStyle w:val="21"/>
        <w:spacing w:line="360" w:lineRule="auto"/>
        <w:ind w:firstLine="420" w:firstLineChars="200"/>
        <w:rPr>
          <w:rFonts w:hint="eastAsia" w:hAnsi="宋体"/>
          <w:sz w:val="21"/>
          <w:szCs w:val="21"/>
        </w:rPr>
      </w:pPr>
      <w:r>
        <w:rPr>
          <w:rFonts w:hint="eastAsia" w:hAnsi="宋体"/>
          <w:sz w:val="21"/>
          <w:szCs w:val="21"/>
          <w:lang w:eastAsia="zh-CN"/>
        </w:rPr>
        <w:t>无锡茂杰机械制造有限公司</w:t>
      </w:r>
      <w:r>
        <w:rPr>
          <w:rFonts w:hint="eastAsia" w:hAnsi="宋体"/>
          <w:sz w:val="21"/>
          <w:szCs w:val="21"/>
          <w:lang w:val="en-US" w:eastAsia="zh-CN"/>
        </w:rPr>
        <w:t>利用自有</w:t>
      </w:r>
      <w:r>
        <w:rPr>
          <w:rFonts w:hint="eastAsia" w:hAnsi="宋体"/>
          <w:sz w:val="21"/>
          <w:szCs w:val="21"/>
        </w:rPr>
        <w:t>厂房从</w:t>
      </w:r>
      <w:r>
        <w:rPr>
          <w:rFonts w:hint="eastAsia" w:hAnsi="宋体"/>
          <w:sz w:val="21"/>
          <w:szCs w:val="21"/>
          <w:lang w:val="en-US" w:eastAsia="zh-CN"/>
        </w:rPr>
        <w:t>事工程机械配套件、焊接件</w:t>
      </w:r>
      <w:r>
        <w:rPr>
          <w:rFonts w:hint="eastAsia" w:hAnsi="宋体"/>
          <w:sz w:val="21"/>
          <w:szCs w:val="21"/>
        </w:rPr>
        <w:t>的生产。2019年9月，我公司委托江苏久力环境科技股份有限公司编制了《无锡茂杰机械制造有限公司工程机械配套件、焊接件生产线的技术改造项目环境影响报告表》，并于2019年10月12日取得了无锡市行政审批局的批复《关于无锡茂杰机械制造有限公司工程机械配套件、焊接件生产线的技术改造项目环境影响报告表的批复》（锡行审环许[2019]5017号）。</w:t>
      </w:r>
    </w:p>
    <w:p>
      <w:pPr>
        <w:pStyle w:val="21"/>
        <w:spacing w:line="360" w:lineRule="auto"/>
        <w:ind w:firstLine="420" w:firstLineChars="200"/>
        <w:rPr>
          <w:rFonts w:hAnsi="宋体"/>
          <w:sz w:val="21"/>
          <w:szCs w:val="21"/>
        </w:rPr>
      </w:pPr>
      <w:r>
        <w:rPr>
          <w:rFonts w:hint="eastAsia" w:hAnsi="宋体"/>
          <w:sz w:val="21"/>
          <w:szCs w:val="21"/>
          <w:lang w:eastAsia="zh-CN"/>
        </w:rPr>
        <w:t>无锡茂杰机械制造有限公司工程机械配套件、焊接件生产线的技术改造项目</w:t>
      </w:r>
      <w:r>
        <w:rPr>
          <w:rFonts w:hAnsi="宋体"/>
          <w:sz w:val="21"/>
          <w:szCs w:val="21"/>
        </w:rPr>
        <w:t>竣工</w:t>
      </w:r>
      <w:r>
        <w:rPr>
          <w:rFonts w:hint="eastAsia" w:hAnsi="宋体"/>
          <w:sz w:val="21"/>
          <w:szCs w:val="21"/>
        </w:rPr>
        <w:t>时间为20</w:t>
      </w:r>
      <w:r>
        <w:rPr>
          <w:rFonts w:hint="eastAsia" w:hAnsi="宋体"/>
          <w:sz w:val="21"/>
          <w:szCs w:val="21"/>
          <w:lang w:val="en-US" w:eastAsia="zh-CN"/>
        </w:rPr>
        <w:t>21</w:t>
      </w:r>
      <w:r>
        <w:rPr>
          <w:rFonts w:hint="eastAsia" w:hAnsi="宋体"/>
          <w:sz w:val="21"/>
          <w:szCs w:val="21"/>
        </w:rPr>
        <w:t>年</w:t>
      </w:r>
      <w:r>
        <w:rPr>
          <w:rFonts w:hint="eastAsia" w:hAnsi="宋体"/>
          <w:sz w:val="21"/>
          <w:szCs w:val="21"/>
          <w:lang w:val="en-US" w:eastAsia="zh-CN"/>
        </w:rPr>
        <w:t>1</w:t>
      </w:r>
      <w:r>
        <w:rPr>
          <w:rFonts w:hint="eastAsia" w:hAnsi="宋体"/>
          <w:sz w:val="21"/>
          <w:szCs w:val="21"/>
        </w:rPr>
        <w:t>月，开始调试日期为20</w:t>
      </w:r>
      <w:r>
        <w:rPr>
          <w:rFonts w:hint="eastAsia" w:hAnsi="宋体"/>
          <w:sz w:val="21"/>
          <w:szCs w:val="21"/>
          <w:lang w:val="en-US" w:eastAsia="zh-CN"/>
        </w:rPr>
        <w:t>21</w:t>
      </w:r>
      <w:r>
        <w:rPr>
          <w:rFonts w:hint="eastAsia" w:hAnsi="宋体"/>
          <w:sz w:val="21"/>
          <w:szCs w:val="21"/>
        </w:rPr>
        <w:t>年</w:t>
      </w:r>
      <w:r>
        <w:rPr>
          <w:rFonts w:hint="eastAsia" w:hAnsi="宋体"/>
          <w:sz w:val="21"/>
          <w:szCs w:val="21"/>
          <w:lang w:val="en-US" w:eastAsia="zh-CN"/>
        </w:rPr>
        <w:t>2</w:t>
      </w:r>
      <w:r>
        <w:rPr>
          <w:rFonts w:hint="eastAsia" w:hAnsi="宋体"/>
          <w:sz w:val="21"/>
          <w:szCs w:val="21"/>
        </w:rPr>
        <w:t>月。</w:t>
      </w:r>
    </w:p>
    <w:p>
      <w:pPr>
        <w:pStyle w:val="21"/>
        <w:spacing w:line="360" w:lineRule="auto"/>
        <w:ind w:firstLine="420" w:firstLineChars="200"/>
        <w:rPr>
          <w:rFonts w:hAnsi="宋体"/>
          <w:sz w:val="21"/>
          <w:szCs w:val="21"/>
        </w:rPr>
      </w:pPr>
      <w:r>
        <w:rPr>
          <w:rFonts w:hint="eastAsia" w:hAnsi="宋体"/>
          <w:sz w:val="21"/>
          <w:szCs w:val="21"/>
        </w:rPr>
        <w:t>（三）投资情况</w:t>
      </w:r>
    </w:p>
    <w:p>
      <w:pPr>
        <w:pStyle w:val="21"/>
        <w:spacing w:line="360" w:lineRule="auto"/>
        <w:ind w:firstLine="420" w:firstLineChars="200"/>
        <w:rPr>
          <w:sz w:val="21"/>
          <w:szCs w:val="21"/>
        </w:rPr>
      </w:pPr>
      <w:r>
        <w:rPr>
          <w:rFonts w:hint="eastAsia"/>
          <w:sz w:val="21"/>
          <w:szCs w:val="21"/>
        </w:rPr>
        <w:t>总投资和环保投资情况：本项</w:t>
      </w:r>
      <w:r>
        <w:rPr>
          <w:rFonts w:hint="eastAsia" w:hAnsi="宋体"/>
          <w:sz w:val="21"/>
          <w:szCs w:val="21"/>
        </w:rPr>
        <w:t>目总投资</w:t>
      </w:r>
      <w:r>
        <w:rPr>
          <w:rFonts w:hint="eastAsia" w:hAnsi="宋体"/>
          <w:sz w:val="21"/>
          <w:szCs w:val="21"/>
          <w:lang w:val="en-US" w:eastAsia="zh-CN"/>
        </w:rPr>
        <w:t>1700</w:t>
      </w:r>
      <w:r>
        <w:rPr>
          <w:rFonts w:hint="eastAsia" w:hAnsi="宋体"/>
          <w:sz w:val="21"/>
          <w:szCs w:val="21"/>
        </w:rPr>
        <w:t>万元，</w:t>
      </w:r>
      <w:r>
        <w:rPr>
          <w:rFonts w:hint="eastAsia"/>
          <w:sz w:val="21"/>
          <w:szCs w:val="21"/>
        </w:rPr>
        <w:t>其中环保投资</w:t>
      </w:r>
      <w:r>
        <w:rPr>
          <w:rFonts w:hint="eastAsia"/>
          <w:sz w:val="21"/>
          <w:szCs w:val="21"/>
          <w:lang w:val="en-US" w:eastAsia="zh-CN"/>
        </w:rPr>
        <w:t>35</w:t>
      </w:r>
      <w:r>
        <w:rPr>
          <w:rFonts w:hint="eastAsia"/>
          <w:sz w:val="21"/>
          <w:szCs w:val="21"/>
        </w:rPr>
        <w:t>万元，占总投资</w:t>
      </w:r>
      <w:r>
        <w:rPr>
          <w:rFonts w:hint="eastAsia"/>
          <w:sz w:val="21"/>
          <w:szCs w:val="21"/>
          <w:lang w:val="en-US" w:eastAsia="zh-CN"/>
        </w:rPr>
        <w:t>的2.06</w:t>
      </w:r>
      <w:r>
        <w:rPr>
          <w:rFonts w:hint="eastAsia"/>
          <w:sz w:val="21"/>
          <w:szCs w:val="21"/>
        </w:rPr>
        <w:t>%。</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（四）验收范围</w:t>
      </w:r>
    </w:p>
    <w:p>
      <w:pPr>
        <w:pStyle w:val="20"/>
        <w:spacing w:before="0" w:beforeAutospacing="0" w:after="0" w:afterAutospacing="0" w:line="360" w:lineRule="auto"/>
        <w:ind w:firstLine="420" w:firstLineChars="200"/>
        <w:jc w:val="both"/>
        <w:outlineLvl w:val="0"/>
        <w:rPr>
          <w:color w:val="000000"/>
          <w:sz w:val="21"/>
          <w:szCs w:val="21"/>
        </w:rPr>
      </w:pPr>
      <w:r>
        <w:rPr>
          <w:rFonts w:hint="eastAsia"/>
          <w:sz w:val="21"/>
          <w:szCs w:val="21"/>
          <w:lang w:eastAsia="zh-CN"/>
        </w:rPr>
        <w:t>无锡茂杰机械制造有限公司</w:t>
      </w:r>
      <w:r>
        <w:rPr>
          <w:rFonts w:hint="eastAsia"/>
          <w:color w:val="000000"/>
          <w:sz w:val="21"/>
          <w:szCs w:val="21"/>
          <w:lang w:eastAsia="zh-CN"/>
        </w:rPr>
        <w:t>工程机械配套件、焊接件生产线的技术改造项目</w:t>
      </w:r>
      <w:r>
        <w:rPr>
          <w:color w:val="000000"/>
          <w:sz w:val="21"/>
          <w:szCs w:val="21"/>
        </w:rPr>
        <w:t>各类环保治理设施与主体工程已同步建成并投入运行，运行基本稳定，具备项目竣工验收监测条件，本次验收为整体验收。</w:t>
      </w:r>
    </w:p>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二、工程设备变动情况</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本项目生产设备数量及型号未发生变化。详见表2-1。</w:t>
      </w:r>
    </w:p>
    <w:p>
      <w:pPr>
        <w:pStyle w:val="20"/>
        <w:spacing w:before="0" w:beforeAutospacing="0" w:after="0" w:afterAutospacing="0" w:line="360" w:lineRule="auto"/>
        <w:ind w:firstLine="420" w:firstLineChars="200"/>
        <w:jc w:val="center"/>
        <w:outlineLvl w:val="0"/>
        <w:rPr>
          <w:rFonts w:hint="eastAsia"/>
          <w:color w:val="000000"/>
          <w:sz w:val="21"/>
          <w:szCs w:val="21"/>
        </w:rPr>
      </w:pPr>
    </w:p>
    <w:p>
      <w:pPr>
        <w:pStyle w:val="20"/>
        <w:spacing w:before="0" w:beforeAutospacing="0" w:after="0" w:afterAutospacing="0" w:line="360" w:lineRule="auto"/>
        <w:ind w:firstLine="420" w:firstLineChars="200"/>
        <w:jc w:val="center"/>
        <w:outlineLvl w:val="0"/>
        <w:rPr>
          <w:rFonts w:hint="eastAsia"/>
          <w:color w:val="000000"/>
          <w:sz w:val="21"/>
          <w:szCs w:val="21"/>
        </w:rPr>
      </w:pPr>
    </w:p>
    <w:p>
      <w:pPr>
        <w:pStyle w:val="20"/>
        <w:spacing w:before="0" w:beforeAutospacing="0" w:after="0" w:afterAutospacing="0" w:line="360" w:lineRule="auto"/>
        <w:ind w:firstLine="420" w:firstLineChars="200"/>
        <w:jc w:val="center"/>
        <w:outlineLvl w:val="0"/>
        <w:rPr>
          <w:color w:val="000000"/>
          <w:sz w:val="21"/>
          <w:szCs w:val="21"/>
        </w:rPr>
      </w:pPr>
      <w:r>
        <w:rPr>
          <w:rFonts w:hint="eastAsia"/>
          <w:color w:val="000000"/>
          <w:sz w:val="21"/>
          <w:szCs w:val="21"/>
        </w:rPr>
        <w:t>表2-1</w:t>
      </w:r>
    </w:p>
    <w:tbl>
      <w:tblPr>
        <w:tblStyle w:val="14"/>
        <w:tblpPr w:leftFromText="180" w:rightFromText="180" w:vertAnchor="text" w:horzAnchor="margin" w:tblpXSpec="center" w:tblpY="18"/>
        <w:tblW w:w="920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911"/>
        <w:gridCol w:w="2082"/>
        <w:gridCol w:w="2224"/>
        <w:gridCol w:w="216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序号</w:t>
            </w:r>
          </w:p>
        </w:tc>
        <w:tc>
          <w:tcPr>
            <w:tcW w:w="1911"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名称</w:t>
            </w:r>
          </w:p>
        </w:tc>
        <w:tc>
          <w:tcPr>
            <w:tcW w:w="2082"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规格型号</w:t>
            </w:r>
          </w:p>
        </w:tc>
        <w:tc>
          <w:tcPr>
            <w:tcW w:w="4387" w:type="dxa"/>
            <w:gridSpan w:val="2"/>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数量（台）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1911"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2082"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2224" w:type="dxa"/>
            <w:vAlign w:val="center"/>
          </w:tcPr>
          <w:p>
            <w:pPr>
              <w:pStyle w:val="5"/>
              <w:keepNext w:val="0"/>
              <w:keepLines w:val="0"/>
              <w:suppressLineNumbers w:val="0"/>
              <w:spacing w:before="0" w:beforeAutospacing="0" w:afterAutospacing="1" w:line="240" w:lineRule="exact"/>
              <w:ind w:left="0" w:right="0"/>
              <w:jc w:val="center"/>
              <w:rPr>
                <w:rFonts w:hint="default" w:ascii="Times New Roman" w:hAnsi="Times New Roman" w:eastAsia="仿宋"/>
                <w:b/>
                <w:sz w:val="21"/>
                <w:szCs w:val="21"/>
              </w:rPr>
            </w:pPr>
            <w:r>
              <w:rPr>
                <w:rFonts w:hint="default" w:ascii="Times New Roman" w:hAnsi="Times New Roman" w:eastAsia="仿宋"/>
                <w:b/>
                <w:sz w:val="21"/>
                <w:szCs w:val="21"/>
              </w:rPr>
              <w:t>环评中数量（台/套）</w:t>
            </w:r>
          </w:p>
        </w:tc>
        <w:tc>
          <w:tcPr>
            <w:tcW w:w="2163" w:type="dxa"/>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实际数量（台/套）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0"/>
                <w:sz w:val="21"/>
                <w:szCs w:val="21"/>
                <w:lang w:val="en-US" w:eastAsia="zh-CN" w:bidi="ar"/>
              </w:rPr>
              <w:t>1</w:t>
            </w:r>
          </w:p>
        </w:tc>
        <w:tc>
          <w:tcPr>
            <w:tcW w:w="1911"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镗床</w:t>
            </w:r>
          </w:p>
        </w:tc>
        <w:tc>
          <w:tcPr>
            <w:tcW w:w="2082"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TJK6920A</w:t>
            </w:r>
            <w:r>
              <w:rPr>
                <w:rFonts w:hint="eastAsia" w:ascii="仿宋" w:hAnsi="仿宋" w:eastAsia="仿宋" w:cs="仿宋"/>
                <w:kern w:val="0"/>
                <w:sz w:val="21"/>
                <w:szCs w:val="21"/>
                <w:lang w:val="en-US" w:eastAsia="zh-CN" w:bidi="ar"/>
              </w:rPr>
              <w:t>、</w:t>
            </w:r>
            <w:r>
              <w:rPr>
                <w:rFonts w:hint="default" w:ascii="Times New Roman" w:hAnsi="Times New Roman" w:eastAsia="仿宋" w:cs="Times New Roman"/>
                <w:kern w:val="0"/>
                <w:sz w:val="21"/>
                <w:szCs w:val="21"/>
                <w:lang w:val="en-US" w:eastAsia="zh-CN" w:bidi="ar"/>
              </w:rPr>
              <w:t>TJK6916A</w:t>
            </w:r>
          </w:p>
        </w:tc>
        <w:tc>
          <w:tcPr>
            <w:tcW w:w="2224"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2</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0"/>
                <w:sz w:val="21"/>
                <w:szCs w:val="21"/>
                <w:lang w:val="en-US" w:eastAsia="zh-CN" w:bidi="ar"/>
              </w:rPr>
              <w:t>2</w:t>
            </w:r>
          </w:p>
        </w:tc>
        <w:tc>
          <w:tcPr>
            <w:tcW w:w="1911"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铣床</w:t>
            </w:r>
          </w:p>
        </w:tc>
        <w:tc>
          <w:tcPr>
            <w:tcW w:w="2082"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4m*2m</w:t>
            </w:r>
            <w:r>
              <w:rPr>
                <w:rFonts w:hint="eastAsia" w:ascii="仿宋" w:hAnsi="仿宋" w:eastAsia="仿宋" w:cs="仿宋"/>
                <w:kern w:val="2"/>
                <w:sz w:val="21"/>
                <w:szCs w:val="21"/>
                <w:lang w:val="en-US" w:eastAsia="zh-CN" w:bidi="ar"/>
              </w:rPr>
              <w:t>、</w:t>
            </w:r>
            <w:r>
              <w:rPr>
                <w:rFonts w:hint="default" w:ascii="Times New Roman" w:hAnsi="Times New Roman" w:eastAsia="仿宋" w:cs="Times New Roman"/>
                <w:kern w:val="2"/>
                <w:sz w:val="21"/>
                <w:szCs w:val="21"/>
                <w:lang w:val="en-US" w:eastAsia="zh-CN" w:bidi="ar"/>
              </w:rPr>
              <w:t>3m*8m</w:t>
            </w:r>
            <w:r>
              <w:rPr>
                <w:rFonts w:hint="eastAsia" w:ascii="仿宋" w:hAnsi="仿宋" w:eastAsia="仿宋" w:cs="仿宋"/>
                <w:kern w:val="2"/>
                <w:sz w:val="21"/>
                <w:szCs w:val="21"/>
                <w:lang w:val="en-US" w:eastAsia="zh-CN" w:bidi="ar"/>
              </w:rPr>
              <w:t>、</w:t>
            </w:r>
            <w:r>
              <w:rPr>
                <w:rFonts w:hint="default" w:ascii="Times New Roman" w:hAnsi="Times New Roman" w:eastAsia="仿宋" w:cs="Times New Roman"/>
                <w:kern w:val="2"/>
                <w:sz w:val="21"/>
                <w:szCs w:val="21"/>
                <w:lang w:val="en-US" w:eastAsia="zh-CN" w:bidi="ar"/>
              </w:rPr>
              <w:t>5m*12m</w:t>
            </w:r>
          </w:p>
        </w:tc>
        <w:tc>
          <w:tcPr>
            <w:tcW w:w="2224"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3</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仿宋" w:cs="Times New Roman"/>
                <w:kern w:val="2"/>
                <w:sz w:val="21"/>
                <w:szCs w:val="21"/>
              </w:rPr>
            </w:pPr>
            <w:r>
              <w:rPr>
                <w:rFonts w:hint="default" w:ascii="Times New Roman" w:hAnsi="Times New Roman" w:eastAsia="仿宋" w:cs="Times New Roman"/>
                <w:kern w:val="0"/>
                <w:sz w:val="21"/>
                <w:szCs w:val="21"/>
                <w:lang w:val="en-US" w:eastAsia="zh-CN" w:bidi="ar"/>
              </w:rPr>
              <w:t>3</w:t>
            </w:r>
          </w:p>
        </w:tc>
        <w:tc>
          <w:tcPr>
            <w:tcW w:w="1911"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立床</w:t>
            </w:r>
          </w:p>
        </w:tc>
        <w:tc>
          <w:tcPr>
            <w:tcW w:w="2082"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CQK5280</w:t>
            </w:r>
            <w:r>
              <w:rPr>
                <w:rFonts w:hint="eastAsia" w:ascii="仿宋" w:hAnsi="仿宋" w:eastAsia="仿宋" w:cs="仿宋"/>
                <w:kern w:val="2"/>
                <w:sz w:val="21"/>
                <w:szCs w:val="21"/>
                <w:lang w:val="en-US" w:eastAsia="zh-CN" w:bidi="ar"/>
              </w:rPr>
              <w:t>、</w:t>
            </w:r>
            <w:r>
              <w:rPr>
                <w:rFonts w:hint="default" w:ascii="Times New Roman" w:hAnsi="Times New Roman" w:eastAsia="仿宋" w:cs="Times New Roman"/>
                <w:kern w:val="2"/>
                <w:sz w:val="21"/>
                <w:szCs w:val="21"/>
                <w:lang w:val="en-US" w:eastAsia="zh-CN" w:bidi="ar"/>
              </w:rPr>
              <w:t>CQK5250</w:t>
            </w:r>
            <w:r>
              <w:rPr>
                <w:rFonts w:hint="eastAsia" w:ascii="仿宋" w:hAnsi="仿宋" w:eastAsia="仿宋" w:cs="仿宋"/>
                <w:kern w:val="2"/>
                <w:sz w:val="21"/>
                <w:szCs w:val="21"/>
                <w:lang w:val="en-US" w:eastAsia="zh-CN" w:bidi="ar"/>
              </w:rPr>
              <w:t>、</w:t>
            </w:r>
            <w:r>
              <w:rPr>
                <w:rFonts w:hint="default" w:ascii="Times New Roman" w:hAnsi="Times New Roman" w:eastAsia="仿宋" w:cs="Times New Roman"/>
                <w:kern w:val="2"/>
                <w:sz w:val="21"/>
                <w:szCs w:val="21"/>
                <w:lang w:val="en-US" w:eastAsia="zh-CN" w:bidi="ar"/>
              </w:rPr>
              <w:t>CQK5240</w:t>
            </w:r>
          </w:p>
        </w:tc>
        <w:tc>
          <w:tcPr>
            <w:tcW w:w="2224"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3</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default"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4</w:t>
            </w:r>
          </w:p>
        </w:tc>
        <w:tc>
          <w:tcPr>
            <w:tcW w:w="1911"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卧车</w:t>
            </w:r>
          </w:p>
        </w:tc>
        <w:tc>
          <w:tcPr>
            <w:tcW w:w="2082"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CWA61100</w:t>
            </w:r>
            <w:r>
              <w:rPr>
                <w:rFonts w:hint="eastAsia" w:ascii="仿宋" w:hAnsi="仿宋" w:eastAsia="仿宋" w:cs="仿宋"/>
                <w:kern w:val="2"/>
                <w:sz w:val="21"/>
                <w:szCs w:val="21"/>
                <w:lang w:val="en-US" w:eastAsia="zh-CN" w:bidi="ar"/>
              </w:rPr>
              <w:t>、</w:t>
            </w:r>
            <w:r>
              <w:rPr>
                <w:rFonts w:hint="default" w:ascii="Times New Roman" w:hAnsi="Times New Roman" w:eastAsia="仿宋" w:cs="Times New Roman"/>
                <w:kern w:val="2"/>
                <w:sz w:val="21"/>
                <w:szCs w:val="21"/>
                <w:lang w:val="en-US" w:eastAsia="zh-CN" w:bidi="ar"/>
              </w:rPr>
              <w:t>CA6150</w:t>
            </w:r>
            <w:r>
              <w:rPr>
                <w:rFonts w:hint="eastAsia" w:ascii="仿宋" w:hAnsi="仿宋" w:eastAsia="仿宋" w:cs="仿宋"/>
                <w:kern w:val="2"/>
                <w:sz w:val="21"/>
                <w:szCs w:val="21"/>
                <w:lang w:val="en-US" w:eastAsia="zh-CN" w:bidi="ar"/>
              </w:rPr>
              <w:t>、</w:t>
            </w:r>
            <w:r>
              <w:rPr>
                <w:rFonts w:hint="default" w:ascii="Times New Roman" w:hAnsi="Times New Roman" w:eastAsia="仿宋" w:cs="Times New Roman"/>
                <w:kern w:val="2"/>
                <w:sz w:val="21"/>
                <w:szCs w:val="21"/>
                <w:lang w:val="en-US" w:eastAsia="zh-CN" w:bidi="ar"/>
              </w:rPr>
              <w:t>CW6180D</w:t>
            </w:r>
          </w:p>
        </w:tc>
        <w:tc>
          <w:tcPr>
            <w:tcW w:w="2224"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7</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5</w:t>
            </w:r>
          </w:p>
        </w:tc>
        <w:tc>
          <w:tcPr>
            <w:tcW w:w="1911"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钻床</w:t>
            </w:r>
          </w:p>
        </w:tc>
        <w:tc>
          <w:tcPr>
            <w:tcW w:w="2082"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30100*31</w:t>
            </w:r>
            <w:r>
              <w:rPr>
                <w:rFonts w:hint="eastAsia" w:ascii="仿宋" w:hAnsi="仿宋" w:eastAsia="仿宋" w:cs="仿宋"/>
                <w:kern w:val="2"/>
                <w:sz w:val="21"/>
                <w:szCs w:val="21"/>
                <w:lang w:val="en-US" w:eastAsia="zh-CN" w:bidi="ar"/>
              </w:rPr>
              <w:t>、</w:t>
            </w:r>
            <w:r>
              <w:rPr>
                <w:rFonts w:hint="default" w:ascii="Times New Roman" w:hAnsi="Times New Roman" w:eastAsia="仿宋" w:cs="Times New Roman"/>
                <w:kern w:val="2"/>
                <w:sz w:val="21"/>
                <w:szCs w:val="21"/>
                <w:lang w:val="en-US" w:eastAsia="zh-CN" w:bidi="ar"/>
              </w:rPr>
              <w:t>3080*25</w:t>
            </w:r>
            <w:r>
              <w:rPr>
                <w:rFonts w:hint="eastAsia" w:ascii="仿宋" w:hAnsi="仿宋" w:eastAsia="仿宋" w:cs="仿宋"/>
                <w:kern w:val="2"/>
                <w:sz w:val="21"/>
                <w:szCs w:val="21"/>
                <w:lang w:val="en-US" w:eastAsia="zh-CN" w:bidi="ar"/>
              </w:rPr>
              <w:t>、</w:t>
            </w:r>
            <w:r>
              <w:rPr>
                <w:rFonts w:hint="default" w:ascii="Times New Roman" w:hAnsi="Times New Roman" w:eastAsia="仿宋" w:cs="Times New Roman"/>
                <w:kern w:val="2"/>
                <w:sz w:val="21"/>
                <w:szCs w:val="21"/>
                <w:lang w:val="en-US" w:eastAsia="zh-CN" w:bidi="ar"/>
              </w:rPr>
              <w:t>3050*16/1</w:t>
            </w:r>
          </w:p>
        </w:tc>
        <w:tc>
          <w:tcPr>
            <w:tcW w:w="2224"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6</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textAlignment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宋体" w:cs="Times New Roman"/>
                <w:kern w:val="0"/>
                <w:sz w:val="21"/>
                <w:szCs w:val="21"/>
                <w:lang w:val="en-US" w:eastAsia="zh-CN" w:bidi="ar"/>
              </w:rPr>
              <w:t>6</w:t>
            </w:r>
          </w:p>
        </w:tc>
        <w:tc>
          <w:tcPr>
            <w:tcW w:w="1911"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eastAsia" w:ascii="仿宋" w:hAnsi="仿宋" w:eastAsia="仿宋" w:cs="仿宋"/>
                <w:kern w:val="2"/>
                <w:sz w:val="21"/>
                <w:szCs w:val="21"/>
                <w:lang w:val="en-US" w:eastAsia="zh-CN" w:bidi="ar"/>
              </w:rPr>
              <w:t>剪折板机</w:t>
            </w:r>
          </w:p>
        </w:tc>
        <w:tc>
          <w:tcPr>
            <w:tcW w:w="2082"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200t</w:t>
            </w:r>
          </w:p>
        </w:tc>
        <w:tc>
          <w:tcPr>
            <w:tcW w:w="2224"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3</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宋体" w:cs="Times New Roman"/>
                <w:kern w:val="0"/>
                <w:sz w:val="21"/>
                <w:szCs w:val="21"/>
                <w:lang w:val="en-US" w:eastAsia="zh-CN" w:bidi="ar"/>
              </w:rPr>
              <w:t>7</w:t>
            </w:r>
          </w:p>
        </w:tc>
        <w:tc>
          <w:tcPr>
            <w:tcW w:w="1911"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eastAsia" w:ascii="仿宋" w:hAnsi="仿宋" w:eastAsia="仿宋" w:cs="仿宋"/>
                <w:kern w:val="2"/>
                <w:sz w:val="21"/>
                <w:szCs w:val="21"/>
                <w:lang w:val="en-US" w:eastAsia="zh-CN" w:bidi="ar"/>
              </w:rPr>
              <w:t>液压机</w:t>
            </w:r>
          </w:p>
        </w:tc>
        <w:tc>
          <w:tcPr>
            <w:tcW w:w="2082"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200t</w:t>
            </w:r>
          </w:p>
        </w:tc>
        <w:tc>
          <w:tcPr>
            <w:tcW w:w="2224"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1</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宋体" w:cs="Times New Roman"/>
                <w:kern w:val="0"/>
                <w:sz w:val="21"/>
                <w:szCs w:val="21"/>
                <w:lang w:val="en-US" w:eastAsia="zh-CN" w:bidi="ar"/>
              </w:rPr>
              <w:t>8</w:t>
            </w:r>
          </w:p>
        </w:tc>
        <w:tc>
          <w:tcPr>
            <w:tcW w:w="1911"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eastAsia" w:ascii="仿宋" w:hAnsi="仿宋" w:eastAsia="仿宋" w:cs="仿宋"/>
                <w:kern w:val="2"/>
                <w:sz w:val="21"/>
                <w:szCs w:val="21"/>
                <w:lang w:val="en-US" w:eastAsia="zh-CN" w:bidi="ar"/>
              </w:rPr>
              <w:t>二氧化碳焊机</w:t>
            </w:r>
          </w:p>
        </w:tc>
        <w:tc>
          <w:tcPr>
            <w:tcW w:w="2082"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500</w:t>
            </w:r>
          </w:p>
        </w:tc>
        <w:tc>
          <w:tcPr>
            <w:tcW w:w="2224"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30</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30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宋体" w:cs="Times New Roman"/>
                <w:kern w:val="0"/>
                <w:sz w:val="21"/>
                <w:szCs w:val="21"/>
                <w:lang w:val="en-US" w:eastAsia="zh-CN" w:bidi="ar"/>
              </w:rPr>
              <w:t>9</w:t>
            </w:r>
          </w:p>
        </w:tc>
        <w:tc>
          <w:tcPr>
            <w:tcW w:w="1911"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eastAsia" w:ascii="仿宋" w:hAnsi="仿宋" w:eastAsia="仿宋" w:cs="仿宋"/>
                <w:kern w:val="2"/>
                <w:sz w:val="21"/>
                <w:szCs w:val="21"/>
                <w:lang w:val="en-US" w:eastAsia="zh-CN" w:bidi="ar"/>
              </w:rPr>
              <w:t>直流焊机</w:t>
            </w:r>
          </w:p>
        </w:tc>
        <w:tc>
          <w:tcPr>
            <w:tcW w:w="2082"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630</w:t>
            </w:r>
          </w:p>
        </w:tc>
        <w:tc>
          <w:tcPr>
            <w:tcW w:w="2224"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10</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宋体" w:cs="Times New Roman"/>
                <w:kern w:val="0"/>
                <w:sz w:val="21"/>
                <w:szCs w:val="21"/>
                <w:lang w:val="en-US" w:eastAsia="zh-CN" w:bidi="ar"/>
              </w:rPr>
              <w:t>10</w:t>
            </w:r>
          </w:p>
        </w:tc>
        <w:tc>
          <w:tcPr>
            <w:tcW w:w="1911"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eastAsia" w:ascii="仿宋" w:hAnsi="仿宋" w:eastAsia="仿宋" w:cs="仿宋"/>
                <w:kern w:val="2"/>
                <w:sz w:val="21"/>
                <w:szCs w:val="21"/>
                <w:lang w:val="en-US" w:eastAsia="zh-CN" w:bidi="ar"/>
              </w:rPr>
              <w:t>埋弧焊机</w:t>
            </w:r>
          </w:p>
        </w:tc>
        <w:tc>
          <w:tcPr>
            <w:tcW w:w="2082"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4</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宋体" w:cs="Times New Roman"/>
                <w:kern w:val="0"/>
                <w:sz w:val="21"/>
                <w:szCs w:val="21"/>
                <w:lang w:val="en-US" w:eastAsia="zh-CN" w:bidi="ar"/>
              </w:rPr>
              <w:t>11</w:t>
            </w:r>
          </w:p>
        </w:tc>
        <w:tc>
          <w:tcPr>
            <w:tcW w:w="1911"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eastAsia" w:ascii="仿宋" w:hAnsi="仿宋" w:eastAsia="仿宋" w:cs="仿宋"/>
                <w:kern w:val="2"/>
                <w:sz w:val="21"/>
                <w:szCs w:val="21"/>
                <w:lang w:val="en-US" w:eastAsia="zh-CN" w:bidi="ar"/>
              </w:rPr>
              <w:t>自动焊接操作机</w:t>
            </w:r>
          </w:p>
        </w:tc>
        <w:tc>
          <w:tcPr>
            <w:tcW w:w="2082"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2</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宋体" w:cs="Times New Roman"/>
                <w:kern w:val="0"/>
                <w:sz w:val="21"/>
                <w:szCs w:val="21"/>
                <w:lang w:val="en-US" w:eastAsia="zh-CN" w:bidi="ar"/>
              </w:rPr>
              <w:t>12</w:t>
            </w:r>
          </w:p>
        </w:tc>
        <w:tc>
          <w:tcPr>
            <w:tcW w:w="1911"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eastAsia" w:ascii="仿宋" w:hAnsi="仿宋" w:eastAsia="仿宋" w:cs="仿宋"/>
                <w:kern w:val="2"/>
                <w:sz w:val="21"/>
                <w:szCs w:val="21"/>
                <w:lang w:val="en-US" w:eastAsia="zh-CN" w:bidi="ar"/>
              </w:rPr>
              <w:t>数控切割机</w:t>
            </w:r>
          </w:p>
        </w:tc>
        <w:tc>
          <w:tcPr>
            <w:tcW w:w="2082"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4000</w:t>
            </w:r>
            <w:r>
              <w:rPr>
                <w:rFonts w:hint="eastAsia" w:ascii="宋体" w:hAnsi="宋体" w:eastAsia="宋体" w:cs="宋体"/>
                <w:kern w:val="0"/>
                <w:sz w:val="21"/>
                <w:szCs w:val="21"/>
                <w:lang w:val="en-US" w:eastAsia="zh-CN" w:bidi="ar"/>
              </w:rPr>
              <w:t>、</w:t>
            </w:r>
            <w:r>
              <w:rPr>
                <w:rFonts w:hint="default" w:ascii="Times New Roman" w:hAnsi="Times New Roman" w:eastAsia="微软雅黑" w:cs="Times New Roman"/>
                <w:kern w:val="0"/>
                <w:sz w:val="21"/>
                <w:szCs w:val="21"/>
                <w:lang w:val="en-US" w:eastAsia="zh-CN" w:bidi="ar"/>
              </w:rPr>
              <w:t>6000</w:t>
            </w:r>
          </w:p>
        </w:tc>
        <w:tc>
          <w:tcPr>
            <w:tcW w:w="2224"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6</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宋体" w:cs="Times New Roman"/>
                <w:kern w:val="0"/>
                <w:sz w:val="21"/>
                <w:szCs w:val="21"/>
                <w:lang w:val="en-US" w:eastAsia="zh-CN" w:bidi="ar"/>
              </w:rPr>
              <w:t>13</w:t>
            </w:r>
          </w:p>
        </w:tc>
        <w:tc>
          <w:tcPr>
            <w:tcW w:w="1911"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eastAsia" w:ascii="仿宋" w:hAnsi="仿宋" w:eastAsia="仿宋" w:cs="仿宋"/>
                <w:kern w:val="2"/>
                <w:sz w:val="21"/>
                <w:szCs w:val="21"/>
                <w:lang w:val="en-US" w:eastAsia="zh-CN" w:bidi="ar"/>
              </w:rPr>
              <w:t>喷砂房</w:t>
            </w:r>
          </w:p>
        </w:tc>
        <w:tc>
          <w:tcPr>
            <w:tcW w:w="2082"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1</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宋体" w:cs="Times New Roman"/>
                <w:kern w:val="0"/>
                <w:sz w:val="21"/>
                <w:szCs w:val="21"/>
                <w:lang w:val="en-US" w:eastAsia="zh-CN" w:bidi="ar"/>
              </w:rPr>
              <w:t>14</w:t>
            </w:r>
          </w:p>
        </w:tc>
        <w:tc>
          <w:tcPr>
            <w:tcW w:w="1911"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eastAsia" w:ascii="仿宋" w:hAnsi="仿宋" w:eastAsia="仿宋" w:cs="仿宋"/>
                <w:kern w:val="2"/>
                <w:sz w:val="21"/>
                <w:szCs w:val="21"/>
                <w:lang w:val="en-US" w:eastAsia="zh-CN" w:bidi="ar"/>
              </w:rPr>
              <w:t>油漆房</w:t>
            </w:r>
          </w:p>
        </w:tc>
        <w:tc>
          <w:tcPr>
            <w:tcW w:w="2082"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1</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宋体" w:cs="Times New Roman"/>
                <w:kern w:val="0"/>
                <w:sz w:val="21"/>
                <w:szCs w:val="21"/>
                <w:lang w:val="en-US" w:eastAsia="zh-CN" w:bidi="ar"/>
              </w:rPr>
              <w:t>15</w:t>
            </w:r>
          </w:p>
        </w:tc>
        <w:tc>
          <w:tcPr>
            <w:tcW w:w="1911"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eastAsia" w:ascii="仿宋" w:hAnsi="仿宋" w:eastAsia="仿宋" w:cs="仿宋"/>
                <w:kern w:val="2"/>
                <w:sz w:val="21"/>
                <w:szCs w:val="21"/>
                <w:lang w:val="en-US" w:eastAsia="zh-CN" w:bidi="ar"/>
              </w:rPr>
              <w:t>磨床</w:t>
            </w:r>
          </w:p>
        </w:tc>
        <w:tc>
          <w:tcPr>
            <w:tcW w:w="2082"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2</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2"/>
                <w:sz w:val="21"/>
                <w:szCs w:val="21"/>
                <w:lang w:val="en-US" w:eastAsia="zh-CN" w:bidi="ar"/>
              </w:rPr>
              <w:t>2</w:t>
            </w:r>
          </w:p>
        </w:tc>
      </w:tr>
    </w:tbl>
    <w:p>
      <w:pPr>
        <w:spacing w:after="0" w:line="360" w:lineRule="auto"/>
        <w:ind w:firstLine="422" w:firstLineChars="200"/>
        <w:outlineLvl w:val="0"/>
        <w:rPr>
          <w:rFonts w:hint="eastAsia" w:ascii="宋体" w:hAnsi="宋体" w:eastAsia="宋体" w:cs="宋体"/>
          <w:b/>
          <w:color w:val="000000"/>
          <w:sz w:val="21"/>
          <w:szCs w:val="21"/>
        </w:rPr>
      </w:pPr>
    </w:p>
    <w:p>
      <w:pPr>
        <w:spacing w:after="0" w:line="360" w:lineRule="auto"/>
        <w:ind w:firstLine="422" w:firstLineChars="200"/>
        <w:outlineLvl w:val="0"/>
        <w:rPr>
          <w:rFonts w:ascii="宋体" w:hAnsi="宋体" w:eastAsia="宋体" w:cs="宋体"/>
          <w:b/>
          <w:color w:val="000000"/>
          <w:sz w:val="21"/>
          <w:szCs w:val="21"/>
        </w:rPr>
      </w:pPr>
      <w:r>
        <w:rPr>
          <w:rFonts w:hint="eastAsia" w:ascii="宋体" w:hAnsi="宋体" w:eastAsia="宋体" w:cs="宋体"/>
          <w:b/>
          <w:color w:val="000000"/>
          <w:sz w:val="21"/>
          <w:szCs w:val="21"/>
        </w:rPr>
        <w:t>三、环境保护设施建设情况</w:t>
      </w:r>
    </w:p>
    <w:p>
      <w:pPr>
        <w:spacing w:after="0" w:line="360" w:lineRule="auto"/>
        <w:ind w:firstLine="420" w:firstLineChars="200"/>
        <w:outlineLvl w:val="1"/>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（1）废气</w:t>
      </w:r>
    </w:p>
    <w:p>
      <w:pPr>
        <w:spacing w:after="0" w:line="360" w:lineRule="auto"/>
        <w:ind w:firstLine="420" w:firstLineChars="200"/>
        <w:outlineLvl w:val="1"/>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本项目废气主要为切割、焊接烟尘、喷面漆、刮灰、喷底漆废气以及喷砂粉尘。公司不设食堂，故无食堂油烟产生。</w:t>
      </w:r>
    </w:p>
    <w:p>
      <w:pPr>
        <w:spacing w:after="0" w:line="360" w:lineRule="auto"/>
        <w:ind w:firstLine="420" w:firstLineChars="200"/>
        <w:outlineLvl w:val="1"/>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中切割、焊接烟尘经集气罩收集后通过布袋除尘器处理后通过15米高排气筒FQ-1排放，主要污染物为颗粒物。本项目喷底漆、刮灰、喷面漆等工作均在密闭的喷漆房中进行，废气经吸气装置收集后经过滤棉+二级活性炭吸附处理后通过15米高排气筒FQ-2排放，主要污染物为颗粒物、VOCs。喷砂在密闭的喷砂房中进行，废气经侧面吸风装置收集后经布袋除尘器处理后无组织排放，主要污染物为颗粒物。</w:t>
      </w:r>
    </w:p>
    <w:p>
      <w:pPr>
        <w:spacing w:after="0" w:line="360" w:lineRule="auto"/>
        <w:ind w:firstLine="420" w:firstLineChars="200"/>
        <w:outlineLvl w:val="1"/>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（2）废水</w:t>
      </w:r>
    </w:p>
    <w:p>
      <w:pPr>
        <w:spacing w:after="0" w:line="360" w:lineRule="auto"/>
        <w:ind w:firstLine="420" w:firstLineChars="200"/>
        <w:outlineLvl w:val="1"/>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本项目无工业废水产生，生活污水经化粪池处理后接管至无锡市阳山镇陆区污水处理有限公司集中处理。主要污染物为化学需氧量、悬浮物、氨氮、总磷、总氮、动植物油。</w:t>
      </w:r>
    </w:p>
    <w:p>
      <w:pPr>
        <w:spacing w:after="0" w:line="360" w:lineRule="auto"/>
        <w:ind w:firstLine="420" w:firstLineChars="200"/>
        <w:outlineLvl w:val="1"/>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（3）噪声</w:t>
      </w:r>
    </w:p>
    <w:p>
      <w:pPr>
        <w:spacing w:after="0" w:line="360" w:lineRule="auto"/>
        <w:ind w:firstLine="420" w:firstLineChars="200"/>
        <w:outlineLvl w:val="1"/>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本项目噪声主要由各类生产设备产生，通过厂房隔声、距离衰减等措施控制噪声对周边环境的影响。</w:t>
      </w:r>
    </w:p>
    <w:p>
      <w:pPr>
        <w:spacing w:after="0" w:line="360" w:lineRule="auto"/>
        <w:ind w:firstLine="420" w:firstLineChars="200"/>
        <w:outlineLvl w:val="1"/>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（4）固废</w:t>
      </w:r>
    </w:p>
    <w:p>
      <w:pPr>
        <w:spacing w:after="0" w:line="360" w:lineRule="auto"/>
        <w:ind w:firstLine="420" w:firstLineChars="200"/>
        <w:outlineLvl w:val="1"/>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本项目固体废物主要为金属边角料、焊渣、废砂、被捕集焊接、切割烟尘、被捕集喷砂粉尘、废乳化液、乳化液空桶、废漆渣、油漆空桶、废过滤棉、废活性炭以及生活垃圾。</w:t>
      </w:r>
    </w:p>
    <w:p>
      <w:pPr>
        <w:spacing w:after="0" w:line="360" w:lineRule="auto"/>
        <w:ind w:firstLine="420" w:firstLineChars="200"/>
        <w:outlineLvl w:val="1"/>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中金属边角料、焊渣、废砂、被捕集焊接、切割烟尘、被捕集喷砂粉尘外售综合利用；废乳化液、乳化液空桶、废漆渣、油漆空桶、废过滤棉、废活性炭均为危废，委托泰兴苏伊士废料处理有限公司处置；生活垃圾由环卫部门清运。</w:t>
      </w:r>
    </w:p>
    <w:p>
      <w:pPr>
        <w:spacing w:after="0" w:line="360" w:lineRule="auto"/>
        <w:ind w:firstLine="420" w:firstLineChars="200"/>
        <w:outlineLvl w:val="1"/>
        <w:rPr>
          <w:b/>
          <w:color w:val="000000"/>
          <w:sz w:val="21"/>
          <w:szCs w:val="21"/>
        </w:rPr>
      </w:pPr>
      <w:r>
        <w:rPr>
          <w:rFonts w:hint="eastAsia"/>
          <w:b/>
          <w:color w:val="000000"/>
          <w:sz w:val="21"/>
          <w:szCs w:val="21"/>
        </w:rPr>
        <w:t>四、环境保护设施调试效果</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1.废水</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2021年5月26日-27日验收监测期间，我公司生活污水中的化学需氧量、悬浮物、动植物油日均值以及pH值各次范围均符合《污水综合排放标准》（GB8978-1996）表4三级标准；氨氮、总氮、总磷日均值符合《污水排入城镇下水道水质标准》（GB/T31962-2015）表1中B等级标准。</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2.废气</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2021年5月26日-27日监测期间，本项目有组织排放的挥发性有机物的排放浓度、排放速率均符合天津市地方标准《工业企业挥发性有机物排放控制标准》(DB12/524-2020)表1标准，有组织排放的颗粒物排放浓度、排放速率均符合上海市地方标准《大气污染物综合排放标准》(DB31933-2015)表1中表面涂装行业TRVOC排放限值。</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2021年5月26日-27日监测期间，本项目无组织排放的颗粒物符合上海市地方标准《大气污染物综合排放标准》(DB31933-2015)表3标准。厂区内非甲烷总烃达到《挥发性有机物无组织排放控制标准》(GB37822-2019)表A.1厂区内VOCs无组织排放限值中特别排放限值要求。</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3.噪声</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2021年5月26日-27日监测期间，我公司昼间南、西、北侧厂界噪声均符合《工业企业厂界环境噪声排放标准》（GB12348-2008）表1中3类标准。</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.污染物排放总量</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本项目无法核算排水量，按员工人数核算，90人每人每天消耗水量50L，全年工作300天，折算系数80%，年排水量约为1080吨。</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根据监测期间数据核算，我公司年排放废水1080吨，废水中年排放化学需氧量0.135吨、悬浮物0.0738吨、氨氮0.0182吨、总磷0.0007吨、总氮0.0386吨，动植物油0.0020吨，年排放废气颗粒物0.0533吨，VOCs0.0120吨，均符合本项目环评批复中核定的总量控制指标。</w:t>
      </w:r>
    </w:p>
    <w:p>
      <w:pPr>
        <w:adjustRightInd/>
        <w:snapToGrid/>
        <w:spacing w:after="0"/>
        <w:jc w:val="center"/>
        <w:rPr>
          <w:rFonts w:ascii="仿宋" w:hAnsi="仿宋" w:eastAsia="宋体" w:cs="宋体"/>
          <w:color w:val="000000"/>
        </w:rPr>
      </w:pPr>
    </w:p>
    <w:p>
      <w:pPr>
        <w:adjustRightInd/>
        <w:snapToGrid/>
        <w:spacing w:after="0"/>
        <w:jc w:val="center"/>
        <w:rPr>
          <w:rFonts w:ascii="仿宋" w:hAnsi="仿宋" w:eastAsia="宋体" w:cs="宋体"/>
          <w:color w:val="000000"/>
        </w:rPr>
      </w:pPr>
    </w:p>
    <w:p>
      <w:pPr>
        <w:adjustRightInd/>
        <w:snapToGrid/>
        <w:spacing w:after="0"/>
        <w:jc w:val="center"/>
        <w:rPr>
          <w:rFonts w:ascii="仿宋" w:hAnsi="仿宋" w:eastAsia="宋体" w:cs="宋体"/>
          <w:color w:val="000000"/>
        </w:rPr>
      </w:pPr>
    </w:p>
    <w:p>
      <w:pPr>
        <w:adjustRightInd/>
        <w:snapToGrid/>
        <w:spacing w:after="0"/>
        <w:jc w:val="center"/>
        <w:rPr>
          <w:rFonts w:ascii="仿宋" w:hAnsi="仿宋" w:eastAsia="宋体" w:cs="宋体"/>
          <w:color w:val="000000"/>
        </w:rPr>
      </w:pPr>
    </w:p>
    <w:p>
      <w:pPr>
        <w:adjustRightInd/>
        <w:snapToGrid/>
        <w:spacing w:after="0"/>
        <w:jc w:val="center"/>
        <w:rPr>
          <w:rFonts w:ascii="宋体" w:hAnsi="宋体" w:eastAsia="宋体" w:cs="宋体"/>
          <w:sz w:val="24"/>
          <w:szCs w:val="24"/>
        </w:rPr>
      </w:pPr>
      <w:r>
        <w:rPr>
          <w:rFonts w:ascii="仿宋" w:hAnsi="仿宋" w:eastAsia="宋体" w:cs="宋体"/>
          <w:color w:val="000000"/>
        </w:rPr>
        <w:t xml:space="preserve">表 </w:t>
      </w:r>
      <w:r>
        <w:rPr>
          <w:rFonts w:hint="eastAsia" w:ascii="TimesNewRomanPS-BoldMT" w:hAnsi="TimesNewRomanPS-BoldMT" w:eastAsia="宋体" w:cs="宋体"/>
          <w:bCs/>
          <w:color w:val="000000"/>
        </w:rPr>
        <w:t>4-4-1</w:t>
      </w:r>
      <w:r>
        <w:rPr>
          <w:rFonts w:ascii="仿宋" w:hAnsi="仿宋" w:eastAsia="宋体" w:cs="宋体"/>
          <w:color w:val="000000"/>
        </w:rPr>
        <w:t>主要污染物排放总量</w:t>
      </w:r>
    </w:p>
    <w:tbl>
      <w:tblPr>
        <w:tblStyle w:val="14"/>
        <w:tblW w:w="89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066"/>
        <w:gridCol w:w="2525"/>
        <w:gridCol w:w="25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控制项目</w:t>
            </w:r>
          </w:p>
        </w:tc>
        <w:tc>
          <w:tcPr>
            <w:tcW w:w="2066"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污染物</w:t>
            </w:r>
          </w:p>
        </w:tc>
        <w:tc>
          <w:tcPr>
            <w:tcW w:w="2525"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lang w:val="en-US" w:eastAsia="zh-CN"/>
              </w:rPr>
              <w:t>核定</w:t>
            </w:r>
            <w:r>
              <w:rPr>
                <w:rFonts w:hint="eastAsia" w:ascii="Times New Roman" w:hAnsi="Times New Roman" w:eastAsia="仿宋" w:cs="Times New Roman"/>
                <w:b/>
                <w:bCs/>
                <w:kern w:val="2"/>
                <w:sz w:val="21"/>
                <w:szCs w:val="21"/>
              </w:rPr>
              <w:t>量（t/a）</w:t>
            </w:r>
          </w:p>
        </w:tc>
        <w:tc>
          <w:tcPr>
            <w:tcW w:w="2524"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实际年排放量（t/a）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restart"/>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废水</w:t>
            </w: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废水量</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1444.5</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1080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化学需氧量</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0.607</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0.135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悬浮物</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0.4334</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0.0738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氨氮</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0.0397</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0.0182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总磷</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0.0072</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vMerge w:val="continue"/>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总氮</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0.0541</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0.0386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vMerge w:val="continue"/>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Times New Roman" w:hAnsi="Times New Roman" w:eastAsia="仿宋" w:cs="Times New Roman"/>
                <w:kern w:val="2"/>
                <w:sz w:val="21"/>
                <w:szCs w:val="21"/>
                <w:lang w:val="en-US" w:eastAsia="zh-CN" w:bidi="ar"/>
              </w:rPr>
              <w:t>动植物油</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0.0292</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0.0020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vMerge w:val="restart"/>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废气</w:t>
            </w: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Times New Roman" w:hAnsi="Times New Roman" w:eastAsia="仿宋" w:cs="Times New Roman"/>
                <w:kern w:val="2"/>
                <w:sz w:val="21"/>
                <w:szCs w:val="21"/>
                <w:lang w:val="en-US" w:eastAsia="zh-CN" w:bidi="ar"/>
              </w:rPr>
              <w:t>颗粒物</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仿宋"/>
                <w:kern w:val="2"/>
                <w:sz w:val="21"/>
                <w:szCs w:val="21"/>
                <w:lang w:val="en-US" w:eastAsia="zh-CN" w:bidi="ar"/>
              </w:rPr>
            </w:pPr>
            <w:r>
              <w:rPr>
                <w:rFonts w:hint="default" w:ascii="Times New Roman" w:hAnsi="Times New Roman" w:eastAsia="仿宋" w:cs="Times New Roman"/>
                <w:kern w:val="2"/>
                <w:sz w:val="21"/>
                <w:szCs w:val="21"/>
                <w:lang w:val="en-US" w:eastAsia="zh-CN" w:bidi="ar"/>
              </w:rPr>
              <w:t>0.1169</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仿宋"/>
                <w:kern w:val="2"/>
                <w:sz w:val="21"/>
                <w:szCs w:val="21"/>
                <w:lang w:val="en-US" w:eastAsia="zh-CN" w:bidi="ar"/>
              </w:rPr>
            </w:pPr>
            <w:r>
              <w:rPr>
                <w:rFonts w:hint="default" w:ascii="Times New Roman" w:hAnsi="Times New Roman" w:eastAsia="仿宋" w:cs="Times New Roman"/>
                <w:kern w:val="2"/>
                <w:sz w:val="21"/>
                <w:szCs w:val="21"/>
                <w:lang w:val="en-US" w:eastAsia="zh-CN" w:bidi="ar"/>
              </w:rPr>
              <w:t>0.0533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Times New Roman" w:hAnsi="Times New Roman" w:eastAsia="仿宋" w:cs="Times New Roman"/>
                <w:kern w:val="2"/>
                <w:sz w:val="21"/>
                <w:szCs w:val="21"/>
                <w:lang w:val="en-US" w:eastAsia="zh-CN" w:bidi="ar"/>
              </w:rPr>
              <w:t>挥发性有机物</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0.0437</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0.0120</w:t>
            </w:r>
          </w:p>
        </w:tc>
      </w:tr>
    </w:tbl>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五、工程建设对环境的影响</w:t>
      </w:r>
    </w:p>
    <w:p>
      <w:pPr>
        <w:pStyle w:val="20"/>
        <w:spacing w:before="0" w:beforeAutospacing="0" w:after="0" w:afterAutospacing="0" w:line="360" w:lineRule="auto"/>
        <w:ind w:firstLine="420" w:firstLineChars="200"/>
        <w:jc w:val="both"/>
        <w:outlineLvl w:val="0"/>
        <w:rPr>
          <w:color w:val="000000"/>
          <w:sz w:val="21"/>
          <w:szCs w:val="21"/>
        </w:rPr>
      </w:pPr>
      <w:r>
        <w:rPr>
          <w:color w:val="000000"/>
          <w:sz w:val="21"/>
          <w:szCs w:val="21"/>
        </w:rPr>
        <w:t>综上所述，</w:t>
      </w:r>
      <w:r>
        <w:rPr>
          <w:rFonts w:hint="eastAsia"/>
          <w:color w:val="000000"/>
          <w:sz w:val="21"/>
          <w:szCs w:val="21"/>
        </w:rPr>
        <w:t>根据监测结果来看</w:t>
      </w:r>
      <w:r>
        <w:rPr>
          <w:color w:val="000000"/>
          <w:sz w:val="21"/>
          <w:szCs w:val="21"/>
        </w:rPr>
        <w:t>，认为本项目在认真执行设计方案及环评中提出的污染防治措施后，产生的污染物对环境影响很小，从环境保护的角度分析，</w:t>
      </w:r>
      <w:r>
        <w:rPr>
          <w:rFonts w:hint="eastAsia"/>
          <w:sz w:val="21"/>
          <w:szCs w:val="21"/>
          <w:lang w:eastAsia="zh-CN"/>
        </w:rPr>
        <w:t>无锡茂杰机械制造有限公司</w:t>
      </w:r>
      <w:r>
        <w:rPr>
          <w:rFonts w:hint="eastAsia"/>
          <w:color w:val="000000"/>
          <w:sz w:val="21"/>
          <w:szCs w:val="21"/>
          <w:lang w:eastAsia="zh-CN"/>
        </w:rPr>
        <w:t>工程机械配套件、焊接件生产线的技术改造项目</w:t>
      </w:r>
      <w:r>
        <w:rPr>
          <w:color w:val="000000"/>
          <w:sz w:val="21"/>
          <w:szCs w:val="21"/>
        </w:rPr>
        <w:t>的建设是可行的。</w:t>
      </w:r>
    </w:p>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六、验收结论</w:t>
      </w:r>
    </w:p>
    <w:p>
      <w:pPr>
        <w:pStyle w:val="20"/>
        <w:spacing w:before="0" w:beforeAutospacing="0" w:after="0" w:afterAutospacing="0" w:line="360" w:lineRule="auto"/>
        <w:ind w:firstLine="420" w:firstLineChars="200"/>
        <w:jc w:val="both"/>
        <w:outlineLvl w:val="0"/>
        <w:rPr>
          <w:color w:val="000000"/>
          <w:sz w:val="21"/>
          <w:szCs w:val="21"/>
        </w:rPr>
      </w:pPr>
      <w:r>
        <w:rPr>
          <w:rFonts w:hint="eastAsia"/>
          <w:sz w:val="21"/>
          <w:szCs w:val="21"/>
          <w:lang w:eastAsia="zh-CN"/>
        </w:rPr>
        <w:t>无锡茂杰机械制造有限公司</w:t>
      </w:r>
      <w:r>
        <w:rPr>
          <w:rFonts w:hint="eastAsia"/>
          <w:color w:val="000000"/>
          <w:sz w:val="21"/>
          <w:szCs w:val="21"/>
          <w:lang w:eastAsia="zh-CN"/>
        </w:rPr>
        <w:t>工程机械配套件、焊接件生产线的技术改造项目</w:t>
      </w:r>
      <w:r>
        <w:rPr>
          <w:rFonts w:hint="eastAsia"/>
          <w:color w:val="000000"/>
          <w:sz w:val="21"/>
          <w:szCs w:val="21"/>
        </w:rPr>
        <w:t>已按照环境影响报告表及其批复要求建成环境保护设施并与主体工程同时投产使用，核查该项目建设内容与环评内容和批复一致，环境保护手续齐全，环保管理较为规范，污染防治措施与“三同时”验收一览表等内容一致，其生产装置和环保设施运行正常,该项目各项污染物经江苏</w:t>
      </w:r>
      <w:r>
        <w:rPr>
          <w:rFonts w:hint="eastAsia"/>
          <w:color w:val="000000"/>
          <w:sz w:val="21"/>
          <w:szCs w:val="21"/>
          <w:lang w:val="en-US" w:eastAsia="zh-CN"/>
        </w:rPr>
        <w:t>环科</w:t>
      </w:r>
      <w:r>
        <w:rPr>
          <w:rFonts w:hint="eastAsia"/>
          <w:color w:val="000000"/>
          <w:sz w:val="21"/>
          <w:szCs w:val="21"/>
        </w:rPr>
        <w:t>检测有限公司监测其污染物能达标排放，</w:t>
      </w:r>
      <w:r>
        <w:rPr>
          <w:rFonts w:hint="eastAsia"/>
          <w:color w:val="000000"/>
          <w:sz w:val="21"/>
          <w:szCs w:val="21"/>
          <w:lang w:val="en-US" w:eastAsia="zh-CN"/>
        </w:rPr>
        <w:t>污染物</w:t>
      </w:r>
      <w:r>
        <w:rPr>
          <w:rFonts w:hint="eastAsia"/>
          <w:color w:val="000000"/>
          <w:sz w:val="21"/>
          <w:szCs w:val="21"/>
        </w:rPr>
        <w:t>年排放总量符合环评及批复的相关要求，本项目通过竣工环境保护验收。</w:t>
      </w:r>
    </w:p>
    <w:p>
      <w:pPr>
        <w:pStyle w:val="20"/>
        <w:numPr>
          <w:ilvl w:val="0"/>
          <w:numId w:val="2"/>
        </w:numPr>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后续要求</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1.</w:t>
      </w:r>
      <w:r>
        <w:rPr>
          <w:color w:val="000000"/>
          <w:sz w:val="21"/>
          <w:szCs w:val="21"/>
        </w:rPr>
        <w:t>加强环境管理，保障环保设备在正常、稳态状态下运行，确保污染物稳定达标排放</w:t>
      </w:r>
      <w:r>
        <w:rPr>
          <w:rFonts w:hint="eastAsia"/>
          <w:color w:val="000000"/>
          <w:sz w:val="21"/>
          <w:szCs w:val="21"/>
        </w:rPr>
        <w:t>。</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2.</w:t>
      </w:r>
      <w:r>
        <w:rPr>
          <w:color w:val="000000"/>
          <w:sz w:val="21"/>
          <w:szCs w:val="21"/>
        </w:rPr>
        <w:t>规范化设置</w:t>
      </w:r>
      <w:r>
        <w:rPr>
          <w:rFonts w:hint="eastAsia"/>
          <w:color w:val="000000"/>
          <w:sz w:val="21"/>
          <w:szCs w:val="21"/>
        </w:rPr>
        <w:t>各</w:t>
      </w:r>
      <w:r>
        <w:rPr>
          <w:color w:val="000000"/>
          <w:sz w:val="21"/>
          <w:szCs w:val="21"/>
        </w:rPr>
        <w:t>排污口</w:t>
      </w:r>
      <w:r>
        <w:rPr>
          <w:rFonts w:hint="eastAsia"/>
          <w:color w:val="000000"/>
          <w:sz w:val="21"/>
          <w:szCs w:val="21"/>
        </w:rPr>
        <w:t>，进一步规范建设固废堆放区。</w:t>
      </w:r>
      <w:bookmarkStart w:id="0" w:name="_GoBack"/>
      <w:bookmarkEnd w:id="0"/>
    </w:p>
    <w:p>
      <w:pPr>
        <w:spacing w:line="220" w:lineRule="atLeast"/>
        <w:ind w:right="420"/>
        <w:rPr>
          <w:rFonts w:ascii="宋体" w:hAnsi="宋体" w:eastAsia="宋体"/>
          <w:color w:val="000000"/>
          <w:sz w:val="21"/>
          <w:szCs w:val="21"/>
        </w:rPr>
      </w:pPr>
    </w:p>
    <w:p>
      <w:pPr>
        <w:spacing w:line="220" w:lineRule="atLeast"/>
        <w:jc w:val="right"/>
        <w:rPr>
          <w:rFonts w:hint="eastAsia" w:ascii="宋体" w:hAnsi="宋体" w:eastAsia="宋体"/>
          <w:sz w:val="21"/>
          <w:szCs w:val="21"/>
          <w:lang w:eastAsia="zh-CN"/>
        </w:rPr>
      </w:pPr>
      <w:r>
        <w:rPr>
          <w:rFonts w:hint="eastAsia" w:ascii="宋体" w:hAnsi="宋体" w:eastAsia="宋体"/>
          <w:sz w:val="21"/>
          <w:szCs w:val="21"/>
          <w:lang w:eastAsia="zh-CN"/>
        </w:rPr>
        <w:t>无锡茂杰机械制造有限公司</w:t>
      </w:r>
    </w:p>
    <w:p>
      <w:pPr>
        <w:spacing w:line="220" w:lineRule="atLeast"/>
        <w:jc w:val="right"/>
        <w:rPr>
          <w:rFonts w:hint="eastAsia" w:ascii="宋体" w:hAnsi="宋体" w:eastAsia="宋体"/>
          <w:sz w:val="21"/>
          <w:szCs w:val="21"/>
          <w:lang w:eastAsia="zh-CN"/>
        </w:rPr>
      </w:pPr>
      <w:r>
        <w:rPr>
          <w:rFonts w:hint="eastAsia" w:ascii="宋体" w:hAnsi="宋体" w:eastAsia="宋体"/>
          <w:sz w:val="21"/>
          <w:szCs w:val="21"/>
          <w:lang w:eastAsia="zh-CN"/>
        </w:rPr>
        <w:t>20</w:t>
      </w:r>
      <w:r>
        <w:rPr>
          <w:rFonts w:hint="eastAsia" w:ascii="宋体" w:hAnsi="宋体" w:eastAsia="宋体"/>
          <w:sz w:val="21"/>
          <w:szCs w:val="21"/>
          <w:lang w:val="en-US" w:eastAsia="zh-CN"/>
        </w:rPr>
        <w:t>21</w:t>
      </w:r>
      <w:r>
        <w:rPr>
          <w:rFonts w:hint="eastAsia" w:ascii="宋体" w:hAnsi="宋体" w:eastAsia="宋体"/>
          <w:sz w:val="21"/>
          <w:szCs w:val="21"/>
          <w:lang w:eastAsia="zh-CN"/>
        </w:rPr>
        <w:t>年</w:t>
      </w:r>
      <w:r>
        <w:rPr>
          <w:rFonts w:hint="eastAsia" w:ascii="宋体" w:hAnsi="宋体" w:eastAsia="宋体"/>
          <w:sz w:val="21"/>
          <w:szCs w:val="21"/>
          <w:lang w:val="en-US" w:eastAsia="zh-CN"/>
        </w:rPr>
        <w:t>6</w:t>
      </w:r>
      <w:r>
        <w:rPr>
          <w:rFonts w:hint="eastAsia" w:ascii="宋体" w:hAnsi="宋体" w:eastAsia="宋体"/>
          <w:sz w:val="21"/>
          <w:szCs w:val="21"/>
          <w:lang w:eastAsia="zh-CN"/>
        </w:rPr>
        <w:t>月</w:t>
      </w:r>
      <w:r>
        <w:rPr>
          <w:rFonts w:hint="eastAsia" w:ascii="宋体" w:hAnsi="宋体" w:eastAsia="宋体"/>
          <w:sz w:val="21"/>
          <w:szCs w:val="21"/>
          <w:lang w:val="en-US" w:eastAsia="zh-CN"/>
        </w:rPr>
        <w:t>4</w:t>
      </w:r>
      <w:r>
        <w:rPr>
          <w:rFonts w:hint="eastAsia" w:ascii="宋体" w:hAnsi="宋体" w:eastAsia="宋体"/>
          <w:sz w:val="21"/>
          <w:szCs w:val="21"/>
          <w:lang w:eastAsia="zh-CN"/>
        </w:rPr>
        <w:t>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40001" w:csb1="00000000"/>
  </w:font>
  <w:font w:name="TimesNewRomanPS-BoldMT">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48623"/>
    <w:multiLevelType w:val="singleLevel"/>
    <w:tmpl w:val="89C48623"/>
    <w:lvl w:ilvl="0" w:tentative="0">
      <w:start w:val="1"/>
      <w:numFmt w:val="bullet"/>
      <w:pStyle w:val="6"/>
      <w:lvlText w:val=""/>
      <w:lvlJc w:val="left"/>
      <w:pPr>
        <w:tabs>
          <w:tab w:val="left" w:pos="2040"/>
        </w:tabs>
        <w:ind w:left="2040" w:hanging="360"/>
      </w:pPr>
      <w:rPr>
        <w:rFonts w:hint="default" w:ascii="Wingdings" w:hAnsi="Wingdings"/>
      </w:rPr>
    </w:lvl>
  </w:abstractNum>
  <w:abstractNum w:abstractNumId="1">
    <w:nsid w:val="00000008"/>
    <w:multiLevelType w:val="singleLevel"/>
    <w:tmpl w:val="00000008"/>
    <w:lvl w:ilvl="0" w:tentative="0">
      <w:start w:val="7"/>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2CF8"/>
    <w:rsid w:val="000107CE"/>
    <w:rsid w:val="000371FD"/>
    <w:rsid w:val="000518CF"/>
    <w:rsid w:val="0005261A"/>
    <w:rsid w:val="00073FB3"/>
    <w:rsid w:val="00077FEB"/>
    <w:rsid w:val="00080879"/>
    <w:rsid w:val="00084E0B"/>
    <w:rsid w:val="00093604"/>
    <w:rsid w:val="000A46E7"/>
    <w:rsid w:val="000B3DCC"/>
    <w:rsid w:val="000C60DF"/>
    <w:rsid w:val="000E3099"/>
    <w:rsid w:val="000E4278"/>
    <w:rsid w:val="000F6317"/>
    <w:rsid w:val="00100E63"/>
    <w:rsid w:val="0010132D"/>
    <w:rsid w:val="0011248B"/>
    <w:rsid w:val="00113437"/>
    <w:rsid w:val="001361E3"/>
    <w:rsid w:val="0014145E"/>
    <w:rsid w:val="00145D09"/>
    <w:rsid w:val="00164870"/>
    <w:rsid w:val="00171C9F"/>
    <w:rsid w:val="001726EC"/>
    <w:rsid w:val="001922EF"/>
    <w:rsid w:val="0019669D"/>
    <w:rsid w:val="001A6EE2"/>
    <w:rsid w:val="001E3398"/>
    <w:rsid w:val="001F542F"/>
    <w:rsid w:val="00202F43"/>
    <w:rsid w:val="002141C9"/>
    <w:rsid w:val="002154F0"/>
    <w:rsid w:val="00217B01"/>
    <w:rsid w:val="0022265E"/>
    <w:rsid w:val="00223FD3"/>
    <w:rsid w:val="002324BB"/>
    <w:rsid w:val="002370E5"/>
    <w:rsid w:val="00241201"/>
    <w:rsid w:val="00266DEE"/>
    <w:rsid w:val="002903B1"/>
    <w:rsid w:val="00296EF8"/>
    <w:rsid w:val="002A3ADA"/>
    <w:rsid w:val="002A72BF"/>
    <w:rsid w:val="002E34C1"/>
    <w:rsid w:val="002E62D4"/>
    <w:rsid w:val="002F0A86"/>
    <w:rsid w:val="00303888"/>
    <w:rsid w:val="00310D81"/>
    <w:rsid w:val="00311851"/>
    <w:rsid w:val="00315A30"/>
    <w:rsid w:val="00323B43"/>
    <w:rsid w:val="00341974"/>
    <w:rsid w:val="003504EA"/>
    <w:rsid w:val="003741D1"/>
    <w:rsid w:val="00377A31"/>
    <w:rsid w:val="00392810"/>
    <w:rsid w:val="003955F8"/>
    <w:rsid w:val="003A254D"/>
    <w:rsid w:val="003A58F1"/>
    <w:rsid w:val="003B4113"/>
    <w:rsid w:val="003B7A01"/>
    <w:rsid w:val="003C6E6F"/>
    <w:rsid w:val="003D37D8"/>
    <w:rsid w:val="003F6069"/>
    <w:rsid w:val="00426133"/>
    <w:rsid w:val="0043380F"/>
    <w:rsid w:val="004358AB"/>
    <w:rsid w:val="0049486F"/>
    <w:rsid w:val="004A22B7"/>
    <w:rsid w:val="004B22AC"/>
    <w:rsid w:val="004C5D8D"/>
    <w:rsid w:val="004C7D7F"/>
    <w:rsid w:val="004D2A4A"/>
    <w:rsid w:val="004D76EA"/>
    <w:rsid w:val="004E3839"/>
    <w:rsid w:val="004E7B6C"/>
    <w:rsid w:val="004F0006"/>
    <w:rsid w:val="00502D7E"/>
    <w:rsid w:val="00512677"/>
    <w:rsid w:val="00515998"/>
    <w:rsid w:val="00537243"/>
    <w:rsid w:val="005449B9"/>
    <w:rsid w:val="00546A26"/>
    <w:rsid w:val="005837BF"/>
    <w:rsid w:val="00587255"/>
    <w:rsid w:val="005A4507"/>
    <w:rsid w:val="005A7E86"/>
    <w:rsid w:val="005B6942"/>
    <w:rsid w:val="005B6F6B"/>
    <w:rsid w:val="005C4B41"/>
    <w:rsid w:val="005E6EF6"/>
    <w:rsid w:val="005F353B"/>
    <w:rsid w:val="00611985"/>
    <w:rsid w:val="00613418"/>
    <w:rsid w:val="0062102A"/>
    <w:rsid w:val="00632CBF"/>
    <w:rsid w:val="00644E31"/>
    <w:rsid w:val="0066300F"/>
    <w:rsid w:val="00666C3C"/>
    <w:rsid w:val="006900C8"/>
    <w:rsid w:val="0069319D"/>
    <w:rsid w:val="006B1B6B"/>
    <w:rsid w:val="006B4547"/>
    <w:rsid w:val="006C1FEC"/>
    <w:rsid w:val="006D1318"/>
    <w:rsid w:val="006D580C"/>
    <w:rsid w:val="006E7DEE"/>
    <w:rsid w:val="00700C35"/>
    <w:rsid w:val="00714D74"/>
    <w:rsid w:val="00717CE0"/>
    <w:rsid w:val="00732608"/>
    <w:rsid w:val="00737E90"/>
    <w:rsid w:val="00754B1D"/>
    <w:rsid w:val="00760F99"/>
    <w:rsid w:val="00761E7E"/>
    <w:rsid w:val="007710DA"/>
    <w:rsid w:val="007B1768"/>
    <w:rsid w:val="007C060C"/>
    <w:rsid w:val="007C0786"/>
    <w:rsid w:val="007C2561"/>
    <w:rsid w:val="007D65E3"/>
    <w:rsid w:val="007D78B0"/>
    <w:rsid w:val="007F5CC8"/>
    <w:rsid w:val="00805FDC"/>
    <w:rsid w:val="0081396B"/>
    <w:rsid w:val="00830820"/>
    <w:rsid w:val="0084363F"/>
    <w:rsid w:val="00847831"/>
    <w:rsid w:val="008510C8"/>
    <w:rsid w:val="00883F70"/>
    <w:rsid w:val="008A53D3"/>
    <w:rsid w:val="008B7726"/>
    <w:rsid w:val="008C556A"/>
    <w:rsid w:val="00903485"/>
    <w:rsid w:val="009056EE"/>
    <w:rsid w:val="00905C83"/>
    <w:rsid w:val="0090782C"/>
    <w:rsid w:val="009104AD"/>
    <w:rsid w:val="00935F88"/>
    <w:rsid w:val="00942008"/>
    <w:rsid w:val="009515BC"/>
    <w:rsid w:val="00955888"/>
    <w:rsid w:val="00960979"/>
    <w:rsid w:val="00976D01"/>
    <w:rsid w:val="00981F89"/>
    <w:rsid w:val="009A1DE1"/>
    <w:rsid w:val="009A63BA"/>
    <w:rsid w:val="009B0833"/>
    <w:rsid w:val="009C2BFA"/>
    <w:rsid w:val="009E278D"/>
    <w:rsid w:val="009E3F8A"/>
    <w:rsid w:val="009E474A"/>
    <w:rsid w:val="009F0AAB"/>
    <w:rsid w:val="009F5B64"/>
    <w:rsid w:val="00A04B35"/>
    <w:rsid w:val="00A07E98"/>
    <w:rsid w:val="00A13EE6"/>
    <w:rsid w:val="00A2194D"/>
    <w:rsid w:val="00A35EAE"/>
    <w:rsid w:val="00A37D6F"/>
    <w:rsid w:val="00A42916"/>
    <w:rsid w:val="00A4494C"/>
    <w:rsid w:val="00A4605F"/>
    <w:rsid w:val="00A54D4C"/>
    <w:rsid w:val="00A77301"/>
    <w:rsid w:val="00A84CC3"/>
    <w:rsid w:val="00AA6C7B"/>
    <w:rsid w:val="00AB1A40"/>
    <w:rsid w:val="00AC49CF"/>
    <w:rsid w:val="00AD0017"/>
    <w:rsid w:val="00AD6EFC"/>
    <w:rsid w:val="00AF6782"/>
    <w:rsid w:val="00B13779"/>
    <w:rsid w:val="00B402EC"/>
    <w:rsid w:val="00B41DBF"/>
    <w:rsid w:val="00B451C1"/>
    <w:rsid w:val="00B459E3"/>
    <w:rsid w:val="00B617A4"/>
    <w:rsid w:val="00B70F5E"/>
    <w:rsid w:val="00B77BE4"/>
    <w:rsid w:val="00B859B2"/>
    <w:rsid w:val="00B87FA3"/>
    <w:rsid w:val="00B92EB0"/>
    <w:rsid w:val="00B9508E"/>
    <w:rsid w:val="00BA0171"/>
    <w:rsid w:val="00BB50CD"/>
    <w:rsid w:val="00BB5C2A"/>
    <w:rsid w:val="00BB694B"/>
    <w:rsid w:val="00BD3A7C"/>
    <w:rsid w:val="00BD4AFF"/>
    <w:rsid w:val="00BE462F"/>
    <w:rsid w:val="00BF257A"/>
    <w:rsid w:val="00BF2851"/>
    <w:rsid w:val="00C23F9A"/>
    <w:rsid w:val="00C252CE"/>
    <w:rsid w:val="00C26B00"/>
    <w:rsid w:val="00C53341"/>
    <w:rsid w:val="00C56BC2"/>
    <w:rsid w:val="00C63366"/>
    <w:rsid w:val="00C65335"/>
    <w:rsid w:val="00C7492F"/>
    <w:rsid w:val="00CB6458"/>
    <w:rsid w:val="00CD1F20"/>
    <w:rsid w:val="00CD2EA9"/>
    <w:rsid w:val="00CE7992"/>
    <w:rsid w:val="00CF68DA"/>
    <w:rsid w:val="00D2626E"/>
    <w:rsid w:val="00D30BFD"/>
    <w:rsid w:val="00D31D50"/>
    <w:rsid w:val="00D577C6"/>
    <w:rsid w:val="00D675F5"/>
    <w:rsid w:val="00D735A8"/>
    <w:rsid w:val="00D73A14"/>
    <w:rsid w:val="00DB6685"/>
    <w:rsid w:val="00DC0245"/>
    <w:rsid w:val="00DC24CE"/>
    <w:rsid w:val="00DC398C"/>
    <w:rsid w:val="00DC6D8A"/>
    <w:rsid w:val="00DD21F8"/>
    <w:rsid w:val="00DD4A51"/>
    <w:rsid w:val="00DE0287"/>
    <w:rsid w:val="00DF126A"/>
    <w:rsid w:val="00DF701F"/>
    <w:rsid w:val="00E0000E"/>
    <w:rsid w:val="00E25854"/>
    <w:rsid w:val="00E27722"/>
    <w:rsid w:val="00E44FA9"/>
    <w:rsid w:val="00E6107A"/>
    <w:rsid w:val="00E61419"/>
    <w:rsid w:val="00E660B0"/>
    <w:rsid w:val="00E73E87"/>
    <w:rsid w:val="00E752F9"/>
    <w:rsid w:val="00EA210D"/>
    <w:rsid w:val="00EA3600"/>
    <w:rsid w:val="00EA3B46"/>
    <w:rsid w:val="00EB24A0"/>
    <w:rsid w:val="00EC6391"/>
    <w:rsid w:val="00EE19D3"/>
    <w:rsid w:val="00EE1F29"/>
    <w:rsid w:val="00EE5372"/>
    <w:rsid w:val="00F25390"/>
    <w:rsid w:val="00F34989"/>
    <w:rsid w:val="00F353DF"/>
    <w:rsid w:val="00F37B3B"/>
    <w:rsid w:val="00F50398"/>
    <w:rsid w:val="00F736A5"/>
    <w:rsid w:val="00F74237"/>
    <w:rsid w:val="00F77DB3"/>
    <w:rsid w:val="00F87C89"/>
    <w:rsid w:val="00FC45CC"/>
    <w:rsid w:val="00FD2F2B"/>
    <w:rsid w:val="00FE5838"/>
    <w:rsid w:val="00FE6B09"/>
    <w:rsid w:val="00FF2695"/>
    <w:rsid w:val="00FF6327"/>
    <w:rsid w:val="00FF77DC"/>
    <w:rsid w:val="02B3564A"/>
    <w:rsid w:val="09416AEE"/>
    <w:rsid w:val="109748FE"/>
    <w:rsid w:val="17210B32"/>
    <w:rsid w:val="1A1C28AE"/>
    <w:rsid w:val="1CC55F6A"/>
    <w:rsid w:val="2B9F4547"/>
    <w:rsid w:val="31130420"/>
    <w:rsid w:val="348A3CE3"/>
    <w:rsid w:val="34C628DC"/>
    <w:rsid w:val="36F64F61"/>
    <w:rsid w:val="41BA12A1"/>
    <w:rsid w:val="4B4F22E6"/>
    <w:rsid w:val="4B6B6A2D"/>
    <w:rsid w:val="4BF74434"/>
    <w:rsid w:val="4C4E3740"/>
    <w:rsid w:val="4ED62E92"/>
    <w:rsid w:val="6F5A0EF5"/>
    <w:rsid w:val="70F3181D"/>
    <w:rsid w:val="7D461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1"/>
    </w:rPr>
    <w:tblPr>
      <w:tblCellMar>
        <w:top w:w="0" w:type="dxa"/>
        <w:left w:w="108" w:type="dxa"/>
        <w:bottom w:w="0" w:type="dxa"/>
        <w:right w:w="108" w:type="dxa"/>
      </w:tblCellMar>
    </w:tblPr>
  </w:style>
  <w:style w:type="paragraph" w:styleId="2">
    <w:name w:val="Body Text First Indent 2"/>
    <w:basedOn w:val="3"/>
    <w:next w:val="4"/>
    <w:link w:val="39"/>
    <w:semiHidden/>
    <w:unhideWhenUsed/>
    <w:qFormat/>
    <w:uiPriority w:val="99"/>
    <w:pPr>
      <w:ind w:firstLine="420" w:firstLineChars="200"/>
    </w:pPr>
  </w:style>
  <w:style w:type="paragraph" w:styleId="3">
    <w:name w:val="Body Text Indent"/>
    <w:basedOn w:val="1"/>
    <w:next w:val="1"/>
    <w:link w:val="38"/>
    <w:semiHidden/>
    <w:unhideWhenUsed/>
    <w:qFormat/>
    <w:uiPriority w:val="99"/>
    <w:pPr>
      <w:spacing w:after="120"/>
      <w:ind w:left="420" w:leftChars="200"/>
    </w:pPr>
  </w:style>
  <w:style w:type="paragraph" w:styleId="4">
    <w:name w:val="Body Text First Indent"/>
    <w:basedOn w:val="5"/>
    <w:next w:val="1"/>
    <w:unhideWhenUsed/>
    <w:qFormat/>
    <w:uiPriority w:val="99"/>
    <w:pPr>
      <w:ind w:firstLine="420" w:firstLineChars="100"/>
    </w:pPr>
  </w:style>
  <w:style w:type="paragraph" w:styleId="5">
    <w:name w:val="Body Text"/>
    <w:basedOn w:val="1"/>
    <w:next w:val="6"/>
    <w:link w:val="27"/>
    <w:qFormat/>
    <w:uiPriority w:val="99"/>
    <w:pPr>
      <w:widowControl w:val="0"/>
      <w:adjustRightInd/>
      <w:snapToGrid/>
      <w:spacing w:after="0"/>
      <w:jc w:val="both"/>
    </w:pPr>
    <w:rPr>
      <w:rFonts w:ascii="Calibri" w:hAnsi="Calibri" w:eastAsia="宋体" w:cs="Times New Roman"/>
      <w:kern w:val="2"/>
      <w:sz w:val="18"/>
      <w:szCs w:val="24"/>
    </w:rPr>
  </w:style>
  <w:style w:type="paragraph" w:styleId="6">
    <w:name w:val="List Bullet 5"/>
    <w:basedOn w:val="1"/>
    <w:semiHidden/>
    <w:unhideWhenUsed/>
    <w:qFormat/>
    <w:uiPriority w:val="99"/>
    <w:pPr>
      <w:numPr>
        <w:ilvl w:val="0"/>
        <w:numId w:val="1"/>
      </w:numPr>
    </w:pPr>
  </w:style>
  <w:style w:type="paragraph" w:styleId="7">
    <w:name w:val="annotation text"/>
    <w:basedOn w:val="1"/>
    <w:link w:val="35"/>
    <w:qFormat/>
    <w:uiPriority w:val="0"/>
    <w:pPr>
      <w:widowControl w:val="0"/>
      <w:adjustRightInd/>
      <w:snapToGrid/>
      <w:spacing w:after="0"/>
    </w:pPr>
    <w:rPr>
      <w:rFonts w:asciiTheme="minorHAnsi" w:hAnsiTheme="minorHAnsi"/>
      <w:kern w:val="2"/>
      <w:sz w:val="21"/>
      <w:szCs w:val="24"/>
    </w:rPr>
  </w:style>
  <w:style w:type="paragraph" w:styleId="8">
    <w:name w:val="Plain Text"/>
    <w:basedOn w:val="1"/>
    <w:link w:val="42"/>
    <w:qFormat/>
    <w:uiPriority w:val="0"/>
    <w:pPr>
      <w:adjustRightInd/>
      <w:snapToGrid/>
      <w:spacing w:after="0" w:line="360" w:lineRule="auto"/>
    </w:pPr>
    <w:rPr>
      <w:rFonts w:ascii="宋体" w:hAnsi="Courier New" w:cs="Courier New"/>
      <w:kern w:val="2"/>
      <w:sz w:val="21"/>
      <w:szCs w:val="21"/>
      <w:lang w:eastAsia="en-US" w:bidi="en-US"/>
    </w:rPr>
  </w:style>
  <w:style w:type="paragraph" w:styleId="9">
    <w:name w:val="Balloon Text"/>
    <w:basedOn w:val="1"/>
    <w:link w:val="26"/>
    <w:semiHidden/>
    <w:unhideWhenUsed/>
    <w:qFormat/>
    <w:uiPriority w:val="99"/>
    <w:pPr>
      <w:spacing w:after="0"/>
    </w:pPr>
    <w:rPr>
      <w:sz w:val="18"/>
      <w:szCs w:val="18"/>
    </w:rPr>
  </w:style>
  <w:style w:type="paragraph" w:styleId="10">
    <w:name w:val="footer"/>
    <w:basedOn w:val="1"/>
    <w:link w:val="19"/>
    <w:unhideWhenUsed/>
    <w:qFormat/>
    <w:uiPriority w:val="99"/>
    <w:pPr>
      <w:tabs>
        <w:tab w:val="center" w:pos="4153"/>
        <w:tab w:val="right" w:pos="8306"/>
      </w:tabs>
    </w:pPr>
    <w:rPr>
      <w:sz w:val="18"/>
      <w:szCs w:val="18"/>
    </w:rPr>
  </w:style>
  <w:style w:type="paragraph" w:styleId="11">
    <w:name w:val="header"/>
    <w:basedOn w:val="1"/>
    <w:link w:val="18"/>
    <w:semiHidden/>
    <w:unhideWhenUsed/>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semiHidden/>
    <w:unhideWhenUsed/>
    <w:qFormat/>
    <w:uiPriority w:val="99"/>
    <w:rPr>
      <w:sz w:val="24"/>
    </w:rPr>
  </w:style>
  <w:style w:type="paragraph" w:styleId="13">
    <w:name w:val="index 1"/>
    <w:basedOn w:val="1"/>
    <w:next w:val="1"/>
    <w:semiHidden/>
    <w:qFormat/>
    <w:uiPriority w:val="0"/>
    <w:pPr>
      <w:widowControl w:val="0"/>
      <w:spacing w:after="0"/>
      <w:jc w:val="center"/>
    </w:pPr>
    <w:rPr>
      <w:rFonts w:ascii="宋体" w:hAnsi="宋体" w:eastAsia="宋体" w:cs="Times New Roman"/>
      <w:kern w:val="2"/>
      <w:sz w:val="21"/>
      <w:szCs w:val="24"/>
    </w:rPr>
  </w:style>
  <w:style w:type="table" w:styleId="15">
    <w:name w:val="Table Grid"/>
    <w:basedOn w:val="14"/>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qFormat/>
    <w:uiPriority w:val="0"/>
    <w:rPr>
      <w:sz w:val="21"/>
      <w:szCs w:val="21"/>
    </w:rPr>
  </w:style>
  <w:style w:type="character" w:customStyle="1" w:styleId="18">
    <w:name w:val="页眉 Char"/>
    <w:basedOn w:val="16"/>
    <w:link w:val="11"/>
    <w:semiHidden/>
    <w:qFormat/>
    <w:uiPriority w:val="99"/>
    <w:rPr>
      <w:rFonts w:ascii="Tahoma" w:hAnsi="Tahoma"/>
      <w:sz w:val="18"/>
      <w:szCs w:val="18"/>
    </w:rPr>
  </w:style>
  <w:style w:type="character" w:customStyle="1" w:styleId="19">
    <w:name w:val="页脚 Char"/>
    <w:basedOn w:val="16"/>
    <w:link w:val="10"/>
    <w:qFormat/>
    <w:uiPriority w:val="99"/>
    <w:rPr>
      <w:rFonts w:ascii="Tahoma" w:hAnsi="Tahoma"/>
      <w:sz w:val="18"/>
      <w:szCs w:val="18"/>
    </w:rPr>
  </w:style>
  <w:style w:type="paragraph" w:customStyle="1" w:styleId="20">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21">
    <w:name w:val="Default"/>
    <w:qFormat/>
    <w:uiPriority w:val="0"/>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 w:type="paragraph" w:customStyle="1" w:styleId="22">
    <w:name w:val="小四表文左齐"/>
    <w:basedOn w:val="1"/>
    <w:qFormat/>
    <w:uiPriority w:val="0"/>
    <w:pPr>
      <w:widowControl w:val="0"/>
      <w:adjustRightInd/>
      <w:snapToGrid/>
      <w:spacing w:after="0"/>
      <w:jc w:val="both"/>
    </w:pPr>
    <w:rPr>
      <w:rFonts w:ascii="宋体" w:hAnsi="宋体" w:eastAsia="宋体" w:cs="Times New Roman"/>
      <w:kern w:val="2"/>
      <w:sz w:val="18"/>
      <w:szCs w:val="18"/>
    </w:rPr>
  </w:style>
  <w:style w:type="character" w:customStyle="1" w:styleId="23">
    <w:name w:val="fontstyle01"/>
    <w:basedOn w:val="16"/>
    <w:qFormat/>
    <w:uiPriority w:val="0"/>
    <w:rPr>
      <w:rFonts w:hint="eastAsia" w:ascii="宋体" w:hAnsi="宋体" w:eastAsia="宋体"/>
      <w:color w:val="000000"/>
      <w:sz w:val="24"/>
      <w:szCs w:val="24"/>
    </w:rPr>
  </w:style>
  <w:style w:type="character" w:customStyle="1" w:styleId="24">
    <w:name w:val="fontstyle21"/>
    <w:basedOn w:val="16"/>
    <w:qFormat/>
    <w:uiPriority w:val="0"/>
    <w:rPr>
      <w:rFonts w:hint="default" w:ascii="TimesNewRomanPSMT" w:hAnsi="TimesNewRomanPSMT"/>
      <w:color w:val="000000"/>
      <w:sz w:val="22"/>
      <w:szCs w:val="22"/>
    </w:rPr>
  </w:style>
  <w:style w:type="character" w:customStyle="1" w:styleId="25">
    <w:name w:val="fontstyle31"/>
    <w:basedOn w:val="16"/>
    <w:qFormat/>
    <w:uiPriority w:val="0"/>
    <w:rPr>
      <w:rFonts w:hint="default" w:ascii="TimesNewRomanPS-BoldMT" w:hAnsi="TimesNewRomanPS-BoldMT"/>
      <w:b/>
      <w:bCs/>
      <w:color w:val="000000"/>
      <w:sz w:val="24"/>
      <w:szCs w:val="24"/>
    </w:rPr>
  </w:style>
  <w:style w:type="character" w:customStyle="1" w:styleId="26">
    <w:name w:val="批注框文本 Char"/>
    <w:basedOn w:val="16"/>
    <w:link w:val="9"/>
    <w:semiHidden/>
    <w:qFormat/>
    <w:uiPriority w:val="99"/>
    <w:rPr>
      <w:rFonts w:ascii="Tahoma" w:hAnsi="Tahoma"/>
      <w:sz w:val="18"/>
      <w:szCs w:val="18"/>
    </w:rPr>
  </w:style>
  <w:style w:type="character" w:customStyle="1" w:styleId="27">
    <w:name w:val="正文文本 Char"/>
    <w:basedOn w:val="16"/>
    <w:link w:val="5"/>
    <w:qFormat/>
    <w:uiPriority w:val="99"/>
    <w:rPr>
      <w:rFonts w:ascii="Calibri" w:hAnsi="Calibri" w:eastAsia="宋体" w:cs="Times New Roman"/>
      <w:kern w:val="2"/>
      <w:sz w:val="18"/>
      <w:szCs w:val="24"/>
    </w:rPr>
  </w:style>
  <w:style w:type="table" w:customStyle="1" w:styleId="28">
    <w:name w:val="Table Normal"/>
    <w:semiHidden/>
    <w:unhideWhenUsed/>
    <w:qFormat/>
    <w:uiPriority w:val="2"/>
    <w:pPr>
      <w:widowControl w:val="0"/>
      <w:autoSpaceDE w:val="0"/>
      <w:autoSpaceDN w:val="0"/>
      <w:spacing w:after="0" w:line="240" w:lineRule="auto"/>
    </w:pPr>
    <w:rPr>
      <w:rFonts w:eastAsiaTheme="minorEastAsia"/>
      <w:lang w:eastAsia="en-US"/>
    </w:rPr>
    <w:tblPr>
      <w:tblCellMar>
        <w:top w:w="0" w:type="dxa"/>
        <w:left w:w="0" w:type="dxa"/>
        <w:bottom w:w="0" w:type="dxa"/>
        <w:right w:w="0" w:type="dxa"/>
      </w:tblCellMar>
    </w:tblPr>
  </w:style>
  <w:style w:type="paragraph" w:customStyle="1" w:styleId="29">
    <w:name w:val="Table Paragraph"/>
    <w:basedOn w:val="1"/>
    <w:qFormat/>
    <w:uiPriority w:val="1"/>
    <w:pPr>
      <w:widowControl w:val="0"/>
      <w:autoSpaceDE w:val="0"/>
      <w:autoSpaceDN w:val="0"/>
      <w:adjustRightInd/>
      <w:snapToGrid/>
      <w:spacing w:after="0"/>
    </w:pPr>
    <w:rPr>
      <w:rFonts w:ascii="宋体" w:hAnsi="宋体" w:eastAsia="宋体" w:cs="宋体"/>
      <w:lang w:eastAsia="en-US"/>
    </w:rPr>
  </w:style>
  <w:style w:type="paragraph" w:customStyle="1" w:styleId="30">
    <w:name w:val="Revision"/>
    <w:hidden/>
    <w:semiHidden/>
    <w:qFormat/>
    <w:uiPriority w:val="99"/>
    <w:pPr>
      <w:spacing w:after="0" w:line="240" w:lineRule="auto"/>
    </w:pPr>
    <w:rPr>
      <w:rFonts w:ascii="Tahoma" w:hAnsi="Tahoma" w:eastAsia="微软雅黑" w:cstheme="minorBidi"/>
      <w:sz w:val="22"/>
      <w:szCs w:val="22"/>
      <w:lang w:val="en-US" w:eastAsia="zh-CN" w:bidi="ar-SA"/>
    </w:rPr>
  </w:style>
  <w:style w:type="character" w:customStyle="1" w:styleId="31">
    <w:name w:val="页码1"/>
    <w:basedOn w:val="16"/>
    <w:qFormat/>
    <w:uiPriority w:val="0"/>
  </w:style>
  <w:style w:type="paragraph" w:customStyle="1" w:styleId="32">
    <w:name w:val="xl22"/>
    <w:basedOn w:val="1"/>
    <w:qFormat/>
    <w:uiPriority w:val="99"/>
    <w:pPr>
      <w:pBdr>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cs="Arial Unicode MS"/>
      <w:sz w:val="21"/>
      <w:szCs w:val="21"/>
    </w:rPr>
  </w:style>
  <w:style w:type="paragraph" w:customStyle="1" w:styleId="33">
    <w:name w:val="xl24"/>
    <w:basedOn w:val="1"/>
    <w:qFormat/>
    <w:uiPriority w:val="0"/>
    <w:pPr>
      <w:pBdr>
        <w:bottom w:val="single" w:color="auto" w:sz="4" w:space="0"/>
        <w:right w:val="single" w:color="auto" w:sz="4" w:space="0"/>
      </w:pBdr>
      <w:adjustRightInd/>
      <w:snapToGrid/>
      <w:spacing w:before="100" w:beforeAutospacing="1" w:after="100" w:afterAutospacing="1"/>
      <w:jc w:val="center"/>
    </w:pPr>
    <w:rPr>
      <w:rFonts w:ascii="Times New Roman" w:hAnsi="Times New Roman" w:eastAsia="Arial Unicode MS" w:cs="Times New Roman"/>
      <w:sz w:val="24"/>
      <w:szCs w:val="24"/>
    </w:rPr>
  </w:style>
  <w:style w:type="character" w:customStyle="1" w:styleId="34">
    <w:name w:val="批注文字 Char"/>
    <w:link w:val="7"/>
    <w:qFormat/>
    <w:uiPriority w:val="0"/>
    <w:rPr>
      <w:kern w:val="2"/>
      <w:sz w:val="21"/>
      <w:szCs w:val="24"/>
    </w:rPr>
  </w:style>
  <w:style w:type="character" w:customStyle="1" w:styleId="35">
    <w:name w:val="批注文字 Char1"/>
    <w:basedOn w:val="16"/>
    <w:link w:val="7"/>
    <w:semiHidden/>
    <w:qFormat/>
    <w:uiPriority w:val="99"/>
    <w:rPr>
      <w:rFonts w:ascii="Tahoma" w:hAnsi="Tahoma"/>
    </w:rPr>
  </w:style>
  <w:style w:type="character" w:customStyle="1" w:styleId="36">
    <w:name w:val="页码2"/>
    <w:basedOn w:val="16"/>
    <w:qFormat/>
    <w:uiPriority w:val="0"/>
  </w:style>
  <w:style w:type="character" w:customStyle="1" w:styleId="37">
    <w:name w:val="by12h1"/>
    <w:basedOn w:val="16"/>
    <w:qFormat/>
    <w:uiPriority w:val="99"/>
    <w:rPr>
      <w:rFonts w:ascii="宋体" w:hAnsi="宋体" w:eastAsia="宋体" w:cs="Times New Roman"/>
      <w:kern w:val="0"/>
      <w:sz w:val="18"/>
      <w:szCs w:val="18"/>
    </w:rPr>
  </w:style>
  <w:style w:type="character" w:customStyle="1" w:styleId="38">
    <w:name w:val="正文文本缩进 Char"/>
    <w:basedOn w:val="16"/>
    <w:link w:val="3"/>
    <w:semiHidden/>
    <w:qFormat/>
    <w:uiPriority w:val="99"/>
    <w:rPr>
      <w:rFonts w:ascii="Tahoma" w:hAnsi="Tahoma"/>
    </w:rPr>
  </w:style>
  <w:style w:type="character" w:customStyle="1" w:styleId="39">
    <w:name w:val="正文首行缩进 2 Char"/>
    <w:basedOn w:val="38"/>
    <w:link w:val="2"/>
    <w:semiHidden/>
    <w:qFormat/>
    <w:uiPriority w:val="99"/>
  </w:style>
  <w:style w:type="character" w:customStyle="1" w:styleId="40">
    <w:name w:val="批注文字 字符"/>
    <w:qFormat/>
    <w:uiPriority w:val="0"/>
    <w:rPr>
      <w:kern w:val="2"/>
      <w:sz w:val="21"/>
      <w:szCs w:val="24"/>
    </w:rPr>
  </w:style>
  <w:style w:type="character" w:customStyle="1" w:styleId="41">
    <w:name w:val="纯文本 Char1"/>
    <w:link w:val="8"/>
    <w:qFormat/>
    <w:uiPriority w:val="0"/>
    <w:rPr>
      <w:rFonts w:ascii="宋体" w:hAnsi="Courier New" w:cs="Courier New"/>
      <w:kern w:val="2"/>
      <w:sz w:val="21"/>
      <w:szCs w:val="21"/>
      <w:lang w:eastAsia="en-US" w:bidi="en-US"/>
    </w:rPr>
  </w:style>
  <w:style w:type="character" w:customStyle="1" w:styleId="42">
    <w:name w:val="纯文本 Char"/>
    <w:basedOn w:val="16"/>
    <w:link w:val="8"/>
    <w:semiHidden/>
    <w:qFormat/>
    <w:uiPriority w:val="99"/>
    <w:rPr>
      <w:rFonts w:ascii="宋体" w:hAnsi="Courier New" w:eastAsia="宋体" w:cs="Courier New"/>
      <w:sz w:val="21"/>
      <w:szCs w:val="21"/>
    </w:rPr>
  </w:style>
  <w:style w:type="character" w:customStyle="1" w:styleId="43">
    <w:name w:val="font01"/>
    <w:qFormat/>
    <w:uiPriority w:val="0"/>
    <w:rPr>
      <w:rFonts w:hint="default" w:ascii="Times New Roman" w:hAnsi="Times New Roman" w:cs="Times New Roman"/>
      <w:color w:val="000000"/>
      <w:sz w:val="21"/>
      <w:szCs w:val="21"/>
      <w:u w:val="none"/>
    </w:rPr>
  </w:style>
  <w:style w:type="paragraph" w:customStyle="1" w:styleId="44">
    <w:name w:val="表格文字"/>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3F52F-89BF-40B9-AA8D-2F932E847620}">
  <ds:schemaRefs/>
</ds:datastoreItem>
</file>

<file path=docProps/app.xml><?xml version="1.0" encoding="utf-8"?>
<Properties xmlns="http://schemas.openxmlformats.org/officeDocument/2006/extended-properties" xmlns:vt="http://schemas.openxmlformats.org/officeDocument/2006/docPropsVTypes">
  <Template>Normal</Template>
  <Pages>1</Pages>
  <Words>2208</Words>
  <Characters>2434</Characters>
  <Lines>1</Lines>
  <Paragraphs>1</Paragraphs>
  <TotalTime>1</TotalTime>
  <ScaleCrop>false</ScaleCrop>
  <LinksUpToDate>false</LinksUpToDate>
  <CharactersWithSpaces>2439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01</dc:creator>
  <cp:lastModifiedBy>镜中的く 古月</cp:lastModifiedBy>
  <cp:lastPrinted>2021-06-30T02:55:00Z</cp:lastPrinted>
  <dcterms:modified xsi:type="dcterms:W3CDTF">2021-06-30T03:31:20Z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08F5DEF13E454F8B918A408BDE97D4DB</vt:lpwstr>
  </property>
</Properties>
</file>