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6912" w14:textId="00618839" w:rsidR="00B36A71" w:rsidRPr="00B36A71" w:rsidRDefault="00B36A71" w:rsidP="00B36A71">
      <w:pPr>
        <w:pStyle w:val="11"/>
        <w:spacing w:before="0" w:beforeAutospacing="0" w:after="0" w:afterAutospacing="0" w:line="276" w:lineRule="auto"/>
        <w:ind w:firstLineChars="200" w:firstLine="643"/>
        <w:jc w:val="center"/>
        <w:outlineLvl w:val="0"/>
        <w:rPr>
          <w:b/>
          <w:color w:val="000000"/>
          <w:sz w:val="32"/>
          <w:szCs w:val="32"/>
        </w:rPr>
      </w:pPr>
      <w:r w:rsidRPr="00B36A71">
        <w:rPr>
          <w:rFonts w:hint="eastAsia"/>
          <w:b/>
          <w:color w:val="000000"/>
          <w:sz w:val="32"/>
          <w:szCs w:val="32"/>
        </w:rPr>
        <w:t>无锡沅邦纺织科技有限公司产业用纺织制成品项目</w:t>
      </w:r>
    </w:p>
    <w:p w14:paraId="5A380B00" w14:textId="77777777" w:rsidR="00986353" w:rsidRDefault="00BB03BE">
      <w:pPr>
        <w:pStyle w:val="11"/>
        <w:spacing w:before="0" w:beforeAutospacing="0" w:after="0" w:afterAutospacing="0" w:line="276" w:lineRule="auto"/>
        <w:ind w:firstLineChars="200" w:firstLine="643"/>
        <w:jc w:val="center"/>
        <w:outlineLvl w:val="0"/>
        <w:rPr>
          <w:b/>
          <w:color w:val="000000"/>
          <w:sz w:val="32"/>
          <w:szCs w:val="32"/>
        </w:rPr>
      </w:pP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14:paraId="330AF863" w14:textId="49AC13A2" w:rsidR="00986353" w:rsidRPr="00CC2E69" w:rsidRDefault="00BB03BE" w:rsidP="00CC2E69">
      <w:pPr>
        <w:pStyle w:val="Default"/>
        <w:spacing w:line="360" w:lineRule="auto"/>
        <w:ind w:firstLineChars="200" w:firstLine="420"/>
        <w:rPr>
          <w:rFonts w:hAnsi="宋体"/>
          <w:sz w:val="21"/>
          <w:szCs w:val="21"/>
        </w:rPr>
      </w:pPr>
      <w:r w:rsidRPr="00CC2E69">
        <w:rPr>
          <w:rFonts w:hAnsi="宋体" w:hint="eastAsia"/>
          <w:sz w:val="21"/>
          <w:szCs w:val="21"/>
        </w:rPr>
        <w:t>2021年</w:t>
      </w:r>
      <w:r w:rsidR="00CC2E69" w:rsidRPr="00CC2E69">
        <w:rPr>
          <w:rFonts w:hAnsi="宋体"/>
          <w:sz w:val="21"/>
          <w:szCs w:val="21"/>
        </w:rPr>
        <w:t>9</w:t>
      </w:r>
      <w:r w:rsidRPr="00CC2E69">
        <w:rPr>
          <w:rFonts w:hAnsi="宋体" w:hint="eastAsia"/>
          <w:sz w:val="21"/>
          <w:szCs w:val="21"/>
        </w:rPr>
        <w:t>月</w:t>
      </w:r>
      <w:r w:rsidR="00CC2E69" w:rsidRPr="00CC2E69">
        <w:rPr>
          <w:rFonts w:hAnsi="宋体"/>
          <w:sz w:val="21"/>
          <w:szCs w:val="21"/>
        </w:rPr>
        <w:t>28</w:t>
      </w:r>
      <w:r w:rsidRPr="00CC2E69">
        <w:rPr>
          <w:rFonts w:hAnsi="宋体" w:hint="eastAsia"/>
          <w:sz w:val="21"/>
          <w:szCs w:val="21"/>
        </w:rPr>
        <w:t>日</w:t>
      </w:r>
      <w:r w:rsidRPr="00CC2E69">
        <w:rPr>
          <w:rFonts w:hAnsi="宋体"/>
          <w:sz w:val="21"/>
          <w:szCs w:val="21"/>
        </w:rPr>
        <w:t>，</w:t>
      </w:r>
      <w:r w:rsidR="00B36A71">
        <w:rPr>
          <w:rFonts w:hAnsi="宋体" w:hint="eastAsia"/>
          <w:sz w:val="21"/>
          <w:szCs w:val="21"/>
        </w:rPr>
        <w:t>无锡沅邦纺织科技有限公司</w:t>
      </w:r>
      <w:r w:rsidRPr="00CC2E69">
        <w:rPr>
          <w:rFonts w:hAnsi="宋体" w:hint="eastAsia"/>
          <w:sz w:val="21"/>
          <w:szCs w:val="21"/>
        </w:rPr>
        <w:t>根据</w:t>
      </w:r>
      <w:r w:rsidR="00CC2E69" w:rsidRPr="00CC2E69">
        <w:rPr>
          <w:rFonts w:hAnsi="宋体" w:hint="eastAsia"/>
          <w:sz w:val="21"/>
          <w:szCs w:val="21"/>
        </w:rPr>
        <w:t>《</w:t>
      </w:r>
      <w:r w:rsidR="00B36A71">
        <w:rPr>
          <w:rFonts w:hAnsi="宋体" w:hint="eastAsia"/>
          <w:sz w:val="21"/>
          <w:szCs w:val="21"/>
        </w:rPr>
        <w:t>产业用纺织制成品项目</w:t>
      </w:r>
      <w:r w:rsidR="00CC2E69" w:rsidRPr="00CC2E69">
        <w:rPr>
          <w:rFonts w:hAnsi="宋体"/>
          <w:sz w:val="21"/>
          <w:szCs w:val="21"/>
        </w:rPr>
        <w:t>竣工环境保护</w:t>
      </w:r>
      <w:r w:rsidR="00CC2E69" w:rsidRPr="00CC2E69">
        <w:rPr>
          <w:rFonts w:hAnsi="宋体" w:hint="eastAsia"/>
          <w:sz w:val="21"/>
          <w:szCs w:val="21"/>
        </w:rPr>
        <w:t>验收监测报告（表）》</w:t>
      </w:r>
      <w:r w:rsidRPr="00CC2E69">
        <w:rPr>
          <w:rFonts w:hAnsi="宋体" w:hint="eastAsia"/>
          <w:sz w:val="21"/>
          <w:szCs w:val="21"/>
        </w:rPr>
        <w:t xml:space="preserve">并对照《建设项目竣工环境保护验收暂行办法》，严格依照国家有关法律法规、建设项目竣工环境保护验收技术规范/指南、本项目环境影响评价报告书（表）和审批部门审批决定等要求对本项目进行验收，提出意见如下： </w:t>
      </w:r>
    </w:p>
    <w:p w14:paraId="46E7AB55" w14:textId="77777777" w:rsidR="00986353" w:rsidRDefault="00BB03BE">
      <w:pPr>
        <w:pStyle w:val="Default"/>
        <w:spacing w:line="360" w:lineRule="auto"/>
        <w:ind w:firstLineChars="200" w:firstLine="422"/>
        <w:rPr>
          <w:rFonts w:hAnsi="宋体"/>
          <w:b/>
          <w:sz w:val="21"/>
          <w:szCs w:val="21"/>
        </w:rPr>
      </w:pPr>
      <w:r>
        <w:rPr>
          <w:rFonts w:hAnsi="宋体" w:hint="eastAsia"/>
          <w:b/>
          <w:sz w:val="21"/>
          <w:szCs w:val="21"/>
        </w:rPr>
        <w:t>一、工程建设基本情况</w:t>
      </w:r>
    </w:p>
    <w:p w14:paraId="40A4ACA7" w14:textId="77777777" w:rsidR="00986353" w:rsidRDefault="00BB03BE">
      <w:pPr>
        <w:pStyle w:val="Default"/>
        <w:spacing w:line="360" w:lineRule="auto"/>
        <w:ind w:firstLineChars="200" w:firstLine="420"/>
        <w:rPr>
          <w:rFonts w:hAnsi="宋体"/>
          <w:sz w:val="21"/>
          <w:szCs w:val="21"/>
        </w:rPr>
      </w:pPr>
      <w:r>
        <w:rPr>
          <w:rFonts w:hAnsi="宋体" w:hint="eastAsia"/>
          <w:sz w:val="21"/>
          <w:szCs w:val="21"/>
        </w:rPr>
        <w:t>（一）建设地点、规模、主要建设内容</w:t>
      </w:r>
    </w:p>
    <w:p w14:paraId="0880552B" w14:textId="3C486ABC" w:rsidR="00986353" w:rsidRPr="00B36A71" w:rsidRDefault="00B36A71" w:rsidP="00B36A71">
      <w:pPr>
        <w:pStyle w:val="Default"/>
        <w:spacing w:line="360" w:lineRule="auto"/>
        <w:ind w:firstLineChars="200" w:firstLine="420"/>
        <w:rPr>
          <w:rFonts w:hAnsi="宋体"/>
          <w:sz w:val="21"/>
          <w:szCs w:val="21"/>
        </w:rPr>
      </w:pPr>
      <w:r w:rsidRPr="00B36A71">
        <w:rPr>
          <w:rFonts w:hAnsi="宋体" w:hint="eastAsia"/>
          <w:sz w:val="21"/>
          <w:szCs w:val="21"/>
        </w:rPr>
        <w:t>无锡沅邦纺织科技有限公司</w:t>
      </w:r>
      <w:r w:rsidRPr="00B36A71">
        <w:rPr>
          <w:rFonts w:hAnsi="宋体" w:hint="eastAsia"/>
          <w:sz w:val="21"/>
          <w:szCs w:val="21"/>
        </w:rPr>
        <w:t>成立于</w:t>
      </w:r>
      <w:r w:rsidRPr="00B36A71">
        <w:rPr>
          <w:rFonts w:hAnsi="宋体"/>
          <w:sz w:val="21"/>
          <w:szCs w:val="21"/>
        </w:rPr>
        <w:t>20</w:t>
      </w:r>
      <w:r w:rsidRPr="00B36A71">
        <w:rPr>
          <w:rFonts w:hAnsi="宋体" w:hint="eastAsia"/>
          <w:sz w:val="21"/>
          <w:szCs w:val="21"/>
        </w:rPr>
        <w:t>20年9月，</w:t>
      </w:r>
      <w:r w:rsidRPr="00B36A71">
        <w:rPr>
          <w:rFonts w:hAnsi="宋体"/>
          <w:sz w:val="21"/>
          <w:szCs w:val="21"/>
        </w:rPr>
        <w:t>位于</w:t>
      </w:r>
      <w:r w:rsidRPr="00B36A71">
        <w:rPr>
          <w:rFonts w:hAnsi="宋体" w:hint="eastAsia"/>
          <w:sz w:val="21"/>
          <w:szCs w:val="21"/>
        </w:rPr>
        <w:t>无锡惠山经济开发区玉祁配套区祁北路29号，租用无锡昌洲纺织有限公司工业厂房，主要</w:t>
      </w:r>
      <w:r w:rsidRPr="00B36A71">
        <w:rPr>
          <w:rFonts w:hAnsi="宋体"/>
          <w:sz w:val="21"/>
          <w:szCs w:val="21"/>
        </w:rPr>
        <w:t>从事</w:t>
      </w:r>
      <w:r w:rsidRPr="00B36A71">
        <w:rPr>
          <w:rFonts w:hAnsi="宋体" w:hint="eastAsia"/>
          <w:sz w:val="21"/>
          <w:szCs w:val="21"/>
        </w:rPr>
        <w:t>产业用纺织制成品生产</w:t>
      </w:r>
      <w:r w:rsidRPr="00B36A71">
        <w:rPr>
          <w:rFonts w:hAnsi="宋体"/>
          <w:sz w:val="21"/>
          <w:szCs w:val="21"/>
        </w:rPr>
        <w:t>。目前</w:t>
      </w:r>
      <w:r w:rsidRPr="00B36A71">
        <w:rPr>
          <w:rFonts w:hAnsi="宋体" w:hint="eastAsia"/>
          <w:sz w:val="21"/>
          <w:szCs w:val="21"/>
        </w:rPr>
        <w:t>本项目</w:t>
      </w:r>
      <w:r w:rsidRPr="00B36A71">
        <w:rPr>
          <w:rFonts w:hAnsi="宋体"/>
          <w:sz w:val="21"/>
          <w:szCs w:val="21"/>
        </w:rPr>
        <w:t>已</w:t>
      </w:r>
      <w:r w:rsidRPr="00B36A71">
        <w:rPr>
          <w:rFonts w:hAnsi="宋体" w:hint="eastAsia"/>
          <w:sz w:val="21"/>
          <w:szCs w:val="21"/>
        </w:rPr>
        <w:t>具备年产无纺布2000吨的能力</w:t>
      </w:r>
      <w:r w:rsidR="00BB03BE">
        <w:rPr>
          <w:rFonts w:hAnsi="宋体" w:hint="eastAsia"/>
          <w:sz w:val="21"/>
          <w:szCs w:val="21"/>
        </w:rPr>
        <w:t>。公司固定资产</w:t>
      </w:r>
      <w:r w:rsidR="00CC2E69">
        <w:rPr>
          <w:rFonts w:hAnsi="宋体"/>
          <w:sz w:val="21"/>
          <w:szCs w:val="21"/>
        </w:rPr>
        <w:t>10</w:t>
      </w:r>
      <w:r w:rsidR="00BB03BE">
        <w:rPr>
          <w:rFonts w:hAnsi="宋体" w:hint="eastAsia"/>
          <w:sz w:val="21"/>
          <w:szCs w:val="21"/>
        </w:rPr>
        <w:t>00万元，员工</w:t>
      </w:r>
      <w:r>
        <w:rPr>
          <w:rFonts w:hAnsi="宋体"/>
          <w:sz w:val="21"/>
          <w:szCs w:val="21"/>
        </w:rPr>
        <w:t>2</w:t>
      </w:r>
      <w:r w:rsidR="00BB03BE">
        <w:rPr>
          <w:rFonts w:hAnsi="宋体" w:hint="eastAsia"/>
          <w:sz w:val="21"/>
          <w:szCs w:val="21"/>
        </w:rPr>
        <w:t>0人。</w:t>
      </w:r>
    </w:p>
    <w:p w14:paraId="3E500593" w14:textId="77777777" w:rsidR="00986353" w:rsidRDefault="00BB03BE">
      <w:pPr>
        <w:pStyle w:val="Default"/>
        <w:spacing w:line="360" w:lineRule="auto"/>
        <w:ind w:firstLineChars="200" w:firstLine="420"/>
        <w:rPr>
          <w:rFonts w:hAnsi="宋体"/>
          <w:sz w:val="21"/>
          <w:szCs w:val="21"/>
        </w:rPr>
      </w:pPr>
      <w:r>
        <w:rPr>
          <w:rFonts w:hAnsi="宋体" w:hint="eastAsia"/>
          <w:sz w:val="21"/>
          <w:szCs w:val="21"/>
        </w:rPr>
        <w:t>（二）建设过程及环保审批情况</w:t>
      </w:r>
    </w:p>
    <w:p w14:paraId="1EF29FA9" w14:textId="65C9C75C" w:rsidR="00986353" w:rsidRDefault="00B36A71" w:rsidP="00CC2E69">
      <w:pPr>
        <w:pStyle w:val="Default"/>
        <w:spacing w:line="360" w:lineRule="auto"/>
        <w:ind w:firstLineChars="200" w:firstLine="420"/>
        <w:rPr>
          <w:rFonts w:hAnsi="宋体"/>
          <w:sz w:val="21"/>
          <w:szCs w:val="21"/>
        </w:rPr>
      </w:pPr>
      <w:r>
        <w:rPr>
          <w:rFonts w:hAnsi="宋体" w:hint="eastAsia"/>
          <w:sz w:val="21"/>
          <w:szCs w:val="21"/>
        </w:rPr>
        <w:t>无锡沅邦纺织科技有限公司</w:t>
      </w:r>
      <w:r w:rsidR="00CC2E69">
        <w:rPr>
          <w:rFonts w:hAnsi="宋体" w:hint="eastAsia"/>
          <w:sz w:val="21"/>
          <w:szCs w:val="21"/>
        </w:rPr>
        <w:t>于</w:t>
      </w:r>
      <w:r>
        <w:rPr>
          <w:rFonts w:hAnsi="宋体"/>
          <w:sz w:val="21"/>
          <w:szCs w:val="21"/>
        </w:rPr>
        <w:t>2020年10月</w:t>
      </w:r>
      <w:r w:rsidR="00CC2E69" w:rsidRPr="00CC2E69">
        <w:rPr>
          <w:rFonts w:hAnsi="宋体"/>
          <w:sz w:val="21"/>
          <w:szCs w:val="21"/>
        </w:rPr>
        <w:t>委托</w:t>
      </w:r>
      <w:r>
        <w:rPr>
          <w:rFonts w:hAnsi="宋体" w:hint="eastAsia"/>
          <w:sz w:val="21"/>
          <w:szCs w:val="21"/>
        </w:rPr>
        <w:t>广州中绿环保有限公司</w:t>
      </w:r>
      <w:r w:rsidR="00CC2E69" w:rsidRPr="00CC2E69">
        <w:rPr>
          <w:rFonts w:hAnsi="宋体"/>
          <w:sz w:val="21"/>
          <w:szCs w:val="21"/>
        </w:rPr>
        <w:t>编制了《</w:t>
      </w:r>
      <w:r>
        <w:rPr>
          <w:rFonts w:hAnsi="宋体" w:hint="eastAsia"/>
          <w:sz w:val="21"/>
          <w:szCs w:val="21"/>
        </w:rPr>
        <w:t>无锡沅邦纺织科技有限公司产业用纺织制成品项目</w:t>
      </w:r>
      <w:r w:rsidR="00CC2E69" w:rsidRPr="00CC2E69">
        <w:rPr>
          <w:rFonts w:hAnsi="宋体"/>
          <w:sz w:val="21"/>
          <w:szCs w:val="21"/>
        </w:rPr>
        <w:t>环境影响报告表》。并于</w:t>
      </w:r>
      <w:r>
        <w:rPr>
          <w:rFonts w:hAnsi="宋体"/>
          <w:sz w:val="21"/>
          <w:szCs w:val="21"/>
        </w:rPr>
        <w:t>2020年12月30日</w:t>
      </w:r>
      <w:r w:rsidR="00CC2E69" w:rsidRPr="00CC2E69">
        <w:rPr>
          <w:rFonts w:hAnsi="宋体"/>
          <w:sz w:val="21"/>
          <w:szCs w:val="21"/>
        </w:rPr>
        <w:t>，获得了</w:t>
      </w:r>
      <w:r w:rsidR="00CC2E69" w:rsidRPr="00CC2E69">
        <w:rPr>
          <w:rFonts w:hAnsi="宋体" w:hint="eastAsia"/>
          <w:sz w:val="21"/>
          <w:szCs w:val="21"/>
        </w:rPr>
        <w:t>无锡市行政审批局</w:t>
      </w:r>
      <w:r w:rsidR="00CC2E69" w:rsidRPr="00CC2E69">
        <w:rPr>
          <w:rFonts w:hAnsi="宋体"/>
          <w:sz w:val="21"/>
          <w:szCs w:val="21"/>
        </w:rPr>
        <w:t>的批复《关于</w:t>
      </w:r>
      <w:r>
        <w:rPr>
          <w:rFonts w:hAnsi="宋体" w:hint="eastAsia"/>
          <w:sz w:val="21"/>
          <w:szCs w:val="21"/>
        </w:rPr>
        <w:t>无锡沅邦纺织科技有限公司产业用纺织制成品项目</w:t>
      </w:r>
      <w:r w:rsidR="00CC2E69" w:rsidRPr="00CC2E69">
        <w:rPr>
          <w:rFonts w:hAnsi="宋体"/>
          <w:sz w:val="21"/>
          <w:szCs w:val="21"/>
        </w:rPr>
        <w:t>环境影响报告表的批复》（</w:t>
      </w:r>
      <w:r>
        <w:rPr>
          <w:rFonts w:hAnsi="宋体" w:hint="eastAsia"/>
          <w:sz w:val="21"/>
          <w:szCs w:val="21"/>
        </w:rPr>
        <w:t>锡行审环许[2020]5430号</w:t>
      </w:r>
      <w:r w:rsidR="00CC2E69" w:rsidRPr="00CC2E69">
        <w:rPr>
          <w:rFonts w:hAnsi="宋体"/>
          <w:sz w:val="21"/>
          <w:szCs w:val="21"/>
        </w:rPr>
        <w:t>）。</w:t>
      </w:r>
    </w:p>
    <w:p w14:paraId="5CE3E644" w14:textId="06428F62" w:rsidR="00986353" w:rsidRDefault="00B36A71">
      <w:pPr>
        <w:pStyle w:val="Default"/>
        <w:spacing w:line="360" w:lineRule="auto"/>
        <w:ind w:firstLineChars="200" w:firstLine="420"/>
        <w:rPr>
          <w:rFonts w:hAnsi="宋体"/>
          <w:sz w:val="21"/>
          <w:szCs w:val="21"/>
        </w:rPr>
      </w:pPr>
      <w:r>
        <w:rPr>
          <w:rFonts w:hAnsi="宋体" w:hint="eastAsia"/>
          <w:sz w:val="21"/>
          <w:szCs w:val="21"/>
        </w:rPr>
        <w:t>无锡沅邦纺织科技有限公司</w:t>
      </w:r>
      <w:r w:rsidRPr="00B36A71">
        <w:rPr>
          <w:rFonts w:hAnsi="宋体" w:hint="eastAsia"/>
          <w:sz w:val="21"/>
          <w:szCs w:val="21"/>
        </w:rPr>
        <w:t>产业用纺织制成品项目</w:t>
      </w:r>
      <w:r w:rsidR="00BB03BE">
        <w:rPr>
          <w:rFonts w:hAnsi="宋体"/>
          <w:sz w:val="21"/>
          <w:szCs w:val="21"/>
        </w:rPr>
        <w:t>竣工</w:t>
      </w:r>
      <w:r w:rsidR="00BB03BE">
        <w:rPr>
          <w:rFonts w:hAnsi="宋体" w:hint="eastAsia"/>
          <w:sz w:val="21"/>
          <w:szCs w:val="21"/>
        </w:rPr>
        <w:t>时间为2021年</w:t>
      </w:r>
      <w:r w:rsidR="00CC2E69">
        <w:rPr>
          <w:rFonts w:hAnsi="宋体" w:hint="eastAsia"/>
          <w:sz w:val="21"/>
          <w:szCs w:val="21"/>
        </w:rPr>
        <w:t>6</w:t>
      </w:r>
      <w:r w:rsidR="00BB03BE">
        <w:rPr>
          <w:rFonts w:hAnsi="宋体" w:hint="eastAsia"/>
          <w:sz w:val="21"/>
          <w:szCs w:val="21"/>
        </w:rPr>
        <w:t>月，开始调试日期为2021年</w:t>
      </w:r>
      <w:r>
        <w:rPr>
          <w:rFonts w:hAnsi="宋体"/>
          <w:sz w:val="21"/>
          <w:szCs w:val="21"/>
        </w:rPr>
        <w:t>8</w:t>
      </w:r>
      <w:r w:rsidR="00BB03BE">
        <w:rPr>
          <w:rFonts w:hAnsi="宋体" w:hint="eastAsia"/>
          <w:sz w:val="21"/>
          <w:szCs w:val="21"/>
        </w:rPr>
        <w:t>月。</w:t>
      </w:r>
    </w:p>
    <w:p w14:paraId="2E05B0AC" w14:textId="77777777" w:rsidR="00986353" w:rsidRDefault="00BB03BE">
      <w:pPr>
        <w:pStyle w:val="Default"/>
        <w:spacing w:line="360" w:lineRule="auto"/>
        <w:ind w:firstLineChars="200" w:firstLine="420"/>
        <w:rPr>
          <w:rFonts w:hAnsi="宋体"/>
          <w:sz w:val="21"/>
          <w:szCs w:val="21"/>
        </w:rPr>
      </w:pPr>
      <w:r>
        <w:rPr>
          <w:rFonts w:hAnsi="宋体" w:hint="eastAsia"/>
          <w:sz w:val="21"/>
          <w:szCs w:val="21"/>
        </w:rPr>
        <w:t>（三）投资情况</w:t>
      </w:r>
    </w:p>
    <w:p w14:paraId="2B577487" w14:textId="321AA8D8" w:rsidR="00986353" w:rsidRDefault="00BB03BE">
      <w:pPr>
        <w:pStyle w:val="Default"/>
        <w:spacing w:line="360" w:lineRule="auto"/>
        <w:ind w:firstLineChars="200" w:firstLine="420"/>
        <w:rPr>
          <w:sz w:val="21"/>
          <w:szCs w:val="21"/>
        </w:rPr>
      </w:pPr>
      <w:r>
        <w:rPr>
          <w:rFonts w:hint="eastAsia"/>
          <w:sz w:val="21"/>
          <w:szCs w:val="21"/>
        </w:rPr>
        <w:t>总投资和环保投资情况：本项</w:t>
      </w:r>
      <w:r>
        <w:rPr>
          <w:rFonts w:hAnsi="宋体" w:hint="eastAsia"/>
          <w:sz w:val="21"/>
          <w:szCs w:val="21"/>
        </w:rPr>
        <w:t>目总投资</w:t>
      </w:r>
      <w:r w:rsidR="00CC2E69">
        <w:rPr>
          <w:rFonts w:hAnsi="宋体"/>
          <w:sz w:val="21"/>
          <w:szCs w:val="21"/>
        </w:rPr>
        <w:t>10</w:t>
      </w:r>
      <w:r>
        <w:rPr>
          <w:rFonts w:hAnsi="宋体" w:hint="eastAsia"/>
          <w:sz w:val="21"/>
          <w:szCs w:val="21"/>
        </w:rPr>
        <w:t>00万元，</w:t>
      </w:r>
      <w:r>
        <w:rPr>
          <w:rFonts w:hint="eastAsia"/>
          <w:sz w:val="21"/>
          <w:szCs w:val="21"/>
        </w:rPr>
        <w:t>其中环保投资</w:t>
      </w:r>
      <w:r w:rsidR="00B36A71">
        <w:rPr>
          <w:sz w:val="21"/>
          <w:szCs w:val="21"/>
        </w:rPr>
        <w:t>15</w:t>
      </w:r>
      <w:r>
        <w:rPr>
          <w:rFonts w:hint="eastAsia"/>
          <w:sz w:val="21"/>
          <w:szCs w:val="21"/>
        </w:rPr>
        <w:t>万元，占总投资的</w:t>
      </w:r>
      <w:r w:rsidR="00CC2E69">
        <w:rPr>
          <w:sz w:val="21"/>
          <w:szCs w:val="21"/>
        </w:rPr>
        <w:t>1</w:t>
      </w:r>
      <w:r w:rsidR="00B36A71">
        <w:rPr>
          <w:sz w:val="21"/>
          <w:szCs w:val="21"/>
        </w:rPr>
        <w:t>.5</w:t>
      </w:r>
      <w:r>
        <w:rPr>
          <w:rFonts w:hint="eastAsia"/>
          <w:sz w:val="21"/>
          <w:szCs w:val="21"/>
        </w:rPr>
        <w:t>%。</w:t>
      </w:r>
    </w:p>
    <w:p w14:paraId="551E21CE" w14:textId="77777777" w:rsidR="00986353" w:rsidRDefault="00BB03BE">
      <w:pPr>
        <w:pStyle w:val="1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14:paraId="0003AF9C" w14:textId="6D6AD6E5" w:rsidR="00986353" w:rsidRDefault="00B36A71">
      <w:pPr>
        <w:pStyle w:val="11"/>
        <w:spacing w:before="0" w:beforeAutospacing="0" w:after="0" w:afterAutospacing="0" w:line="360" w:lineRule="auto"/>
        <w:ind w:firstLineChars="200" w:firstLine="420"/>
        <w:jc w:val="both"/>
        <w:outlineLvl w:val="0"/>
        <w:rPr>
          <w:color w:val="000000"/>
          <w:sz w:val="21"/>
          <w:szCs w:val="21"/>
        </w:rPr>
      </w:pPr>
      <w:r>
        <w:rPr>
          <w:rFonts w:hint="eastAsia"/>
          <w:sz w:val="21"/>
          <w:szCs w:val="21"/>
        </w:rPr>
        <w:t>无锡沅邦纺织科技有限公司产业用纺织制成品项目</w:t>
      </w:r>
      <w:r w:rsidR="00BB03BE">
        <w:rPr>
          <w:color w:val="000000"/>
          <w:sz w:val="21"/>
          <w:szCs w:val="21"/>
        </w:rPr>
        <w:t>各类环保治理设施与主体工程已同步建成并投入运行，运行基本稳定，具备项目竣工验收监测条件，本次验收为整体验收。</w:t>
      </w:r>
    </w:p>
    <w:p w14:paraId="2874A9FF" w14:textId="77777777" w:rsidR="00986353" w:rsidRDefault="00BB03BE">
      <w:pPr>
        <w:pStyle w:val="1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二、工程设备变动情况</w:t>
      </w:r>
    </w:p>
    <w:p w14:paraId="1EAA6991" w14:textId="77777777" w:rsidR="00986353" w:rsidRDefault="00BB03BE">
      <w:pPr>
        <w:pStyle w:val="1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本项目生产设备数量及型号未发生变化。详见表2-1。</w:t>
      </w:r>
    </w:p>
    <w:p w14:paraId="14305793" w14:textId="02FCA7FC" w:rsidR="00986353" w:rsidRDefault="00BB03BE">
      <w:pPr>
        <w:pStyle w:val="11"/>
        <w:spacing w:before="0" w:beforeAutospacing="0" w:after="0" w:afterAutospacing="0" w:line="360" w:lineRule="auto"/>
        <w:ind w:firstLineChars="200" w:firstLine="420"/>
        <w:jc w:val="center"/>
        <w:outlineLvl w:val="0"/>
        <w:rPr>
          <w:color w:val="000000"/>
          <w:sz w:val="21"/>
          <w:szCs w:val="21"/>
        </w:rPr>
      </w:pPr>
      <w:r>
        <w:rPr>
          <w:rFonts w:hint="eastAsia"/>
          <w:color w:val="000000"/>
          <w:sz w:val="21"/>
          <w:szCs w:val="21"/>
        </w:rPr>
        <w:t>表2-1</w:t>
      </w:r>
    </w:p>
    <w:tbl>
      <w:tblPr>
        <w:tblpPr w:leftFromText="180" w:rightFromText="180" w:vertAnchor="text" w:horzAnchor="margin" w:tblpXSpec="center" w:tblpY="18"/>
        <w:tblOverlap w:val="never"/>
        <w:tblW w:w="9080"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2552"/>
        <w:gridCol w:w="2409"/>
        <w:gridCol w:w="1701"/>
        <w:gridCol w:w="1709"/>
      </w:tblGrid>
      <w:tr w:rsidR="00CC2E69" w:rsidRPr="00142F10" w14:paraId="63A4E4EC" w14:textId="77777777" w:rsidTr="00CC2E69">
        <w:trPr>
          <w:trHeight w:val="57"/>
          <w:tblHeader/>
        </w:trPr>
        <w:tc>
          <w:tcPr>
            <w:tcW w:w="709" w:type="dxa"/>
            <w:vMerge w:val="restart"/>
            <w:vAlign w:val="center"/>
          </w:tcPr>
          <w:p w14:paraId="3E01085B"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r w:rsidRPr="00CC2E69">
              <w:rPr>
                <w:rFonts w:ascii="Times New Roman" w:eastAsia="仿宋" w:hAnsi="Times New Roman" w:cs="Times New Roman"/>
                <w:b/>
                <w:kern w:val="2"/>
                <w:sz w:val="21"/>
                <w:szCs w:val="21"/>
              </w:rPr>
              <w:t>序号</w:t>
            </w:r>
          </w:p>
        </w:tc>
        <w:tc>
          <w:tcPr>
            <w:tcW w:w="2552" w:type="dxa"/>
            <w:vMerge w:val="restart"/>
            <w:vAlign w:val="center"/>
          </w:tcPr>
          <w:p w14:paraId="48AA6B1E"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r w:rsidRPr="00CC2E69">
              <w:rPr>
                <w:rFonts w:ascii="Times New Roman" w:eastAsia="仿宋" w:hAnsi="Times New Roman" w:cs="Times New Roman"/>
                <w:b/>
                <w:kern w:val="2"/>
                <w:sz w:val="21"/>
                <w:szCs w:val="21"/>
              </w:rPr>
              <w:t>名称</w:t>
            </w:r>
          </w:p>
        </w:tc>
        <w:tc>
          <w:tcPr>
            <w:tcW w:w="2409" w:type="dxa"/>
            <w:vMerge w:val="restart"/>
            <w:vAlign w:val="center"/>
          </w:tcPr>
          <w:p w14:paraId="4CDC327E"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r w:rsidRPr="00CC2E69">
              <w:rPr>
                <w:rFonts w:ascii="Times New Roman" w:eastAsia="仿宋" w:hAnsi="Times New Roman" w:cs="Times New Roman"/>
                <w:b/>
                <w:kern w:val="2"/>
                <w:sz w:val="21"/>
                <w:szCs w:val="21"/>
              </w:rPr>
              <w:t>规格型号</w:t>
            </w:r>
          </w:p>
        </w:tc>
        <w:tc>
          <w:tcPr>
            <w:tcW w:w="3410" w:type="dxa"/>
            <w:gridSpan w:val="2"/>
            <w:vAlign w:val="center"/>
          </w:tcPr>
          <w:p w14:paraId="3689E863"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r w:rsidRPr="00CC2E69">
              <w:rPr>
                <w:rFonts w:ascii="Times New Roman" w:eastAsia="仿宋" w:hAnsi="Times New Roman" w:cs="Times New Roman"/>
                <w:b/>
                <w:kern w:val="2"/>
                <w:sz w:val="21"/>
                <w:szCs w:val="21"/>
              </w:rPr>
              <w:t>数量（台</w:t>
            </w:r>
            <w:r w:rsidRPr="00CC2E69">
              <w:rPr>
                <w:rFonts w:ascii="Times New Roman" w:eastAsia="仿宋" w:hAnsi="Times New Roman" w:cs="Times New Roman"/>
                <w:b/>
                <w:kern w:val="2"/>
                <w:sz w:val="21"/>
                <w:szCs w:val="21"/>
              </w:rPr>
              <w:t>/</w:t>
            </w:r>
            <w:r w:rsidRPr="00CC2E69">
              <w:rPr>
                <w:rFonts w:ascii="Times New Roman" w:eastAsia="仿宋" w:hAnsi="Times New Roman" w:cs="Times New Roman"/>
                <w:b/>
                <w:kern w:val="2"/>
                <w:sz w:val="21"/>
                <w:szCs w:val="21"/>
              </w:rPr>
              <w:t>套）</w:t>
            </w:r>
          </w:p>
        </w:tc>
      </w:tr>
      <w:tr w:rsidR="00CC2E69" w:rsidRPr="00142F10" w14:paraId="2DDF7471" w14:textId="77777777" w:rsidTr="00CC2E69">
        <w:trPr>
          <w:trHeight w:val="57"/>
          <w:tblHeader/>
        </w:trPr>
        <w:tc>
          <w:tcPr>
            <w:tcW w:w="709" w:type="dxa"/>
            <w:vMerge/>
            <w:tcBorders>
              <w:bottom w:val="single" w:sz="4" w:space="0" w:color="auto"/>
            </w:tcBorders>
            <w:vAlign w:val="center"/>
          </w:tcPr>
          <w:p w14:paraId="47EF0C19"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p>
        </w:tc>
        <w:tc>
          <w:tcPr>
            <w:tcW w:w="2552" w:type="dxa"/>
            <w:vMerge/>
            <w:vAlign w:val="center"/>
          </w:tcPr>
          <w:p w14:paraId="38AFF72B"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p>
        </w:tc>
        <w:tc>
          <w:tcPr>
            <w:tcW w:w="2409" w:type="dxa"/>
            <w:vMerge/>
            <w:vAlign w:val="center"/>
          </w:tcPr>
          <w:p w14:paraId="51AA0F87"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p>
        </w:tc>
        <w:tc>
          <w:tcPr>
            <w:tcW w:w="1701" w:type="dxa"/>
            <w:vAlign w:val="center"/>
          </w:tcPr>
          <w:p w14:paraId="04227EE5"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r w:rsidRPr="00CC2E69">
              <w:rPr>
                <w:rFonts w:ascii="Times New Roman" w:eastAsia="仿宋" w:hAnsi="Times New Roman" w:cs="Times New Roman"/>
                <w:b/>
                <w:kern w:val="2"/>
                <w:sz w:val="21"/>
                <w:szCs w:val="21"/>
              </w:rPr>
              <w:t>环评中数量</w:t>
            </w:r>
          </w:p>
        </w:tc>
        <w:tc>
          <w:tcPr>
            <w:tcW w:w="1709" w:type="dxa"/>
            <w:vAlign w:val="center"/>
          </w:tcPr>
          <w:p w14:paraId="3A6ACA4B" w14:textId="77777777" w:rsidR="00CC2E69" w:rsidRPr="00CC2E69" w:rsidRDefault="00CC2E69" w:rsidP="00CC2E69">
            <w:pPr>
              <w:widowControl w:val="0"/>
              <w:adjustRightInd/>
              <w:snapToGrid/>
              <w:spacing w:after="0" w:line="240" w:lineRule="exact"/>
              <w:jc w:val="center"/>
              <w:rPr>
                <w:rFonts w:ascii="Times New Roman" w:eastAsia="仿宋" w:hAnsi="Times New Roman" w:cs="Times New Roman"/>
                <w:b/>
                <w:kern w:val="2"/>
                <w:sz w:val="21"/>
                <w:szCs w:val="21"/>
              </w:rPr>
            </w:pPr>
            <w:r w:rsidRPr="00CC2E69">
              <w:rPr>
                <w:rFonts w:ascii="Times New Roman" w:eastAsia="仿宋" w:hAnsi="Times New Roman" w:cs="Times New Roman"/>
                <w:b/>
                <w:kern w:val="2"/>
                <w:sz w:val="21"/>
                <w:szCs w:val="21"/>
              </w:rPr>
              <w:t>实际数量</w:t>
            </w:r>
          </w:p>
        </w:tc>
      </w:tr>
      <w:tr w:rsidR="00B36A71" w:rsidRPr="00142F10" w14:paraId="5DBB8205" w14:textId="77777777" w:rsidTr="00CC2E69">
        <w:trPr>
          <w:trHeight w:val="57"/>
        </w:trPr>
        <w:tc>
          <w:tcPr>
            <w:tcW w:w="709" w:type="dxa"/>
            <w:tcBorders>
              <w:top w:val="single" w:sz="4" w:space="0" w:color="auto"/>
              <w:bottom w:val="single" w:sz="4" w:space="0" w:color="auto"/>
            </w:tcBorders>
            <w:vAlign w:val="center"/>
          </w:tcPr>
          <w:p w14:paraId="7082DAAE" w14:textId="7777777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CC2E69">
              <w:rPr>
                <w:rFonts w:ascii="Times New Roman" w:eastAsia="仿宋" w:hAnsi="Times New Roman" w:cs="Times New Roman"/>
                <w:kern w:val="2"/>
                <w:sz w:val="21"/>
                <w:szCs w:val="21"/>
                <w:lang w:bidi="ar"/>
              </w:rPr>
              <w:t>1</w:t>
            </w:r>
          </w:p>
        </w:tc>
        <w:tc>
          <w:tcPr>
            <w:tcW w:w="2552" w:type="dxa"/>
            <w:tcBorders>
              <w:bottom w:val="single" w:sz="4" w:space="0" w:color="auto"/>
            </w:tcBorders>
            <w:vAlign w:val="center"/>
          </w:tcPr>
          <w:p w14:paraId="670C37ED" w14:textId="3301F092"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SS</w:t>
            </w:r>
            <w:r w:rsidRPr="0097717A">
              <w:rPr>
                <w:rFonts w:ascii="Times New Roman" w:eastAsia="仿宋" w:hAnsi="Times New Roman" w:hint="eastAsia"/>
                <w:szCs w:val="21"/>
              </w:rPr>
              <w:t>级无纺设备</w:t>
            </w:r>
          </w:p>
        </w:tc>
        <w:tc>
          <w:tcPr>
            <w:tcW w:w="2409" w:type="dxa"/>
            <w:tcBorders>
              <w:bottom w:val="single" w:sz="4" w:space="0" w:color="auto"/>
            </w:tcBorders>
            <w:vAlign w:val="center"/>
          </w:tcPr>
          <w:p w14:paraId="5ACA5C88" w14:textId="24ED5BA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双挤出型</w:t>
            </w:r>
          </w:p>
        </w:tc>
        <w:tc>
          <w:tcPr>
            <w:tcW w:w="1701" w:type="dxa"/>
            <w:vAlign w:val="center"/>
          </w:tcPr>
          <w:p w14:paraId="204CBAA7" w14:textId="31449E3C"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3</w:t>
            </w:r>
            <w:r>
              <w:rPr>
                <w:rFonts w:ascii="Times New Roman" w:eastAsia="仿宋" w:hAnsi="Times New Roman" w:hint="eastAsia"/>
                <w:szCs w:val="21"/>
              </w:rPr>
              <w:t>条</w:t>
            </w:r>
          </w:p>
        </w:tc>
        <w:tc>
          <w:tcPr>
            <w:tcW w:w="1709" w:type="dxa"/>
            <w:vAlign w:val="center"/>
          </w:tcPr>
          <w:p w14:paraId="3AA16C10" w14:textId="682B776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r>
              <w:rPr>
                <w:rFonts w:ascii="Times New Roman" w:eastAsia="仿宋" w:hAnsi="Times New Roman" w:hint="eastAsia"/>
                <w:szCs w:val="21"/>
              </w:rPr>
              <w:t>条</w:t>
            </w:r>
          </w:p>
        </w:tc>
      </w:tr>
      <w:tr w:rsidR="00B36A71" w:rsidRPr="00142F10" w14:paraId="4C2282D9" w14:textId="77777777" w:rsidTr="00CC2E69">
        <w:trPr>
          <w:trHeight w:val="57"/>
        </w:trPr>
        <w:tc>
          <w:tcPr>
            <w:tcW w:w="709" w:type="dxa"/>
            <w:tcBorders>
              <w:top w:val="single" w:sz="4" w:space="0" w:color="auto"/>
              <w:bottom w:val="single" w:sz="4" w:space="0" w:color="auto"/>
            </w:tcBorders>
            <w:vAlign w:val="center"/>
          </w:tcPr>
          <w:p w14:paraId="7D77DC58" w14:textId="7777777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CC2E69">
              <w:rPr>
                <w:rFonts w:ascii="Times New Roman" w:eastAsia="仿宋" w:hAnsi="Times New Roman" w:cs="Times New Roman"/>
                <w:kern w:val="2"/>
                <w:sz w:val="21"/>
                <w:szCs w:val="21"/>
                <w:lang w:bidi="ar"/>
              </w:rPr>
              <w:t>2</w:t>
            </w:r>
          </w:p>
        </w:tc>
        <w:tc>
          <w:tcPr>
            <w:tcW w:w="2552" w:type="dxa"/>
            <w:tcBorders>
              <w:top w:val="single" w:sz="4" w:space="0" w:color="auto"/>
              <w:bottom w:val="single" w:sz="4" w:space="0" w:color="auto"/>
            </w:tcBorders>
            <w:vAlign w:val="center"/>
          </w:tcPr>
          <w:p w14:paraId="7A4D16B3" w14:textId="563C2F73"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螺杆式空气压缩机</w:t>
            </w:r>
          </w:p>
        </w:tc>
        <w:tc>
          <w:tcPr>
            <w:tcW w:w="2409" w:type="dxa"/>
            <w:tcBorders>
              <w:top w:val="single" w:sz="4" w:space="0" w:color="auto"/>
            </w:tcBorders>
            <w:vAlign w:val="center"/>
          </w:tcPr>
          <w:p w14:paraId="7A6CBF3E" w14:textId="24DE5C23"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ES120K</w:t>
            </w:r>
          </w:p>
        </w:tc>
        <w:tc>
          <w:tcPr>
            <w:tcW w:w="1701" w:type="dxa"/>
            <w:vAlign w:val="center"/>
          </w:tcPr>
          <w:p w14:paraId="38F1B538" w14:textId="5CE47A01"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2</w:t>
            </w:r>
          </w:p>
        </w:tc>
        <w:tc>
          <w:tcPr>
            <w:tcW w:w="1709" w:type="dxa"/>
            <w:vAlign w:val="center"/>
          </w:tcPr>
          <w:p w14:paraId="2BC1FD63" w14:textId="012967AF"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2</w:t>
            </w:r>
          </w:p>
        </w:tc>
      </w:tr>
      <w:tr w:rsidR="00B36A71" w:rsidRPr="00142F10" w14:paraId="51E7D126" w14:textId="77777777" w:rsidTr="00CC2E69">
        <w:trPr>
          <w:trHeight w:val="57"/>
        </w:trPr>
        <w:tc>
          <w:tcPr>
            <w:tcW w:w="709" w:type="dxa"/>
            <w:tcBorders>
              <w:top w:val="single" w:sz="4" w:space="0" w:color="auto"/>
              <w:bottom w:val="single" w:sz="4" w:space="0" w:color="auto"/>
            </w:tcBorders>
            <w:vAlign w:val="center"/>
          </w:tcPr>
          <w:p w14:paraId="6302AE66" w14:textId="7777777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CC2E69">
              <w:rPr>
                <w:rFonts w:ascii="Times New Roman" w:eastAsia="仿宋" w:hAnsi="Times New Roman" w:cs="Times New Roman"/>
                <w:kern w:val="2"/>
                <w:sz w:val="21"/>
                <w:szCs w:val="21"/>
                <w:lang w:bidi="ar"/>
              </w:rPr>
              <w:t>3</w:t>
            </w:r>
          </w:p>
        </w:tc>
        <w:tc>
          <w:tcPr>
            <w:tcW w:w="2552" w:type="dxa"/>
            <w:tcBorders>
              <w:top w:val="single" w:sz="4" w:space="0" w:color="auto"/>
              <w:bottom w:val="single" w:sz="4" w:space="0" w:color="auto"/>
            </w:tcBorders>
            <w:vAlign w:val="center"/>
          </w:tcPr>
          <w:p w14:paraId="78E96AA6" w14:textId="13FED01D"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冷却塔冷却系统</w:t>
            </w:r>
          </w:p>
        </w:tc>
        <w:tc>
          <w:tcPr>
            <w:tcW w:w="2409" w:type="dxa"/>
            <w:vAlign w:val="center"/>
          </w:tcPr>
          <w:p w14:paraId="2DAD5C37" w14:textId="7B221B43"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w:t>
            </w:r>
          </w:p>
        </w:tc>
        <w:tc>
          <w:tcPr>
            <w:tcW w:w="1701" w:type="dxa"/>
            <w:vAlign w:val="center"/>
          </w:tcPr>
          <w:p w14:paraId="6EB771D6" w14:textId="5E40F050"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p>
        </w:tc>
        <w:tc>
          <w:tcPr>
            <w:tcW w:w="1709" w:type="dxa"/>
            <w:vAlign w:val="center"/>
          </w:tcPr>
          <w:p w14:paraId="0E970001" w14:textId="26FFE841"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p>
        </w:tc>
      </w:tr>
      <w:tr w:rsidR="00B36A71" w:rsidRPr="00142F10" w14:paraId="47C1EC53" w14:textId="77777777" w:rsidTr="00CC2E69">
        <w:trPr>
          <w:trHeight w:val="57"/>
        </w:trPr>
        <w:tc>
          <w:tcPr>
            <w:tcW w:w="709" w:type="dxa"/>
            <w:tcBorders>
              <w:top w:val="single" w:sz="4" w:space="0" w:color="auto"/>
            </w:tcBorders>
            <w:vAlign w:val="center"/>
          </w:tcPr>
          <w:p w14:paraId="454F6DC7" w14:textId="7777777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CC2E69">
              <w:rPr>
                <w:rFonts w:ascii="Times New Roman" w:eastAsia="仿宋" w:hAnsi="Times New Roman" w:cs="Times New Roman"/>
                <w:kern w:val="2"/>
                <w:sz w:val="21"/>
                <w:szCs w:val="21"/>
                <w:lang w:bidi="ar"/>
              </w:rPr>
              <w:t>4</w:t>
            </w:r>
          </w:p>
        </w:tc>
        <w:tc>
          <w:tcPr>
            <w:tcW w:w="2552" w:type="dxa"/>
            <w:tcBorders>
              <w:top w:val="single" w:sz="4" w:space="0" w:color="auto"/>
            </w:tcBorders>
            <w:vAlign w:val="center"/>
          </w:tcPr>
          <w:p w14:paraId="1333565E" w14:textId="6DB96770"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分切机</w:t>
            </w:r>
          </w:p>
        </w:tc>
        <w:tc>
          <w:tcPr>
            <w:tcW w:w="2409" w:type="dxa"/>
            <w:vAlign w:val="center"/>
          </w:tcPr>
          <w:p w14:paraId="33851D48" w14:textId="3DBB6CB3"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w:t>
            </w:r>
          </w:p>
        </w:tc>
        <w:tc>
          <w:tcPr>
            <w:tcW w:w="1701" w:type="dxa"/>
            <w:vAlign w:val="center"/>
          </w:tcPr>
          <w:p w14:paraId="14C1116D" w14:textId="48EC0856"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p>
        </w:tc>
        <w:tc>
          <w:tcPr>
            <w:tcW w:w="1709" w:type="dxa"/>
            <w:vAlign w:val="center"/>
          </w:tcPr>
          <w:p w14:paraId="4DC633E6" w14:textId="3F1F7A68"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p>
        </w:tc>
      </w:tr>
      <w:tr w:rsidR="00B36A71" w:rsidRPr="00142F10" w14:paraId="7CE83365" w14:textId="77777777" w:rsidTr="00CC2E69">
        <w:trPr>
          <w:trHeight w:val="57"/>
        </w:trPr>
        <w:tc>
          <w:tcPr>
            <w:tcW w:w="709" w:type="dxa"/>
            <w:vAlign w:val="center"/>
          </w:tcPr>
          <w:p w14:paraId="759409F6" w14:textId="7777777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CC2E69">
              <w:rPr>
                <w:rFonts w:ascii="Times New Roman" w:eastAsia="仿宋" w:hAnsi="Times New Roman" w:cs="Times New Roman"/>
                <w:kern w:val="2"/>
                <w:sz w:val="21"/>
                <w:szCs w:val="21"/>
                <w:lang w:bidi="ar"/>
              </w:rPr>
              <w:t>5</w:t>
            </w:r>
          </w:p>
        </w:tc>
        <w:tc>
          <w:tcPr>
            <w:tcW w:w="2552" w:type="dxa"/>
            <w:vAlign w:val="center"/>
          </w:tcPr>
          <w:p w14:paraId="4B4F0C17" w14:textId="7FE4009F"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叉车</w:t>
            </w:r>
          </w:p>
        </w:tc>
        <w:tc>
          <w:tcPr>
            <w:tcW w:w="2409" w:type="dxa"/>
            <w:vAlign w:val="center"/>
          </w:tcPr>
          <w:p w14:paraId="328FB396" w14:textId="29F19E9F"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3.0</w:t>
            </w:r>
            <w:r w:rsidRPr="0097717A">
              <w:rPr>
                <w:rFonts w:ascii="Times New Roman" w:eastAsia="仿宋" w:hAnsi="Times New Roman" w:hint="eastAsia"/>
                <w:szCs w:val="21"/>
              </w:rPr>
              <w:t>吨</w:t>
            </w:r>
          </w:p>
        </w:tc>
        <w:tc>
          <w:tcPr>
            <w:tcW w:w="1701" w:type="dxa"/>
            <w:vAlign w:val="center"/>
          </w:tcPr>
          <w:p w14:paraId="4DE9442E" w14:textId="18CB0BCA"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p>
        </w:tc>
        <w:tc>
          <w:tcPr>
            <w:tcW w:w="1709" w:type="dxa"/>
            <w:vAlign w:val="center"/>
          </w:tcPr>
          <w:p w14:paraId="08E96584" w14:textId="6D6F6CBD"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1</w:t>
            </w:r>
          </w:p>
        </w:tc>
      </w:tr>
      <w:tr w:rsidR="00B36A71" w:rsidRPr="00142F10" w14:paraId="0035B501" w14:textId="77777777" w:rsidTr="00CC2E69">
        <w:trPr>
          <w:trHeight w:val="57"/>
        </w:trPr>
        <w:tc>
          <w:tcPr>
            <w:tcW w:w="709" w:type="dxa"/>
            <w:vAlign w:val="center"/>
          </w:tcPr>
          <w:p w14:paraId="73089D9A" w14:textId="77777777"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CC2E69">
              <w:rPr>
                <w:rFonts w:ascii="Times New Roman" w:eastAsia="仿宋" w:hAnsi="Times New Roman" w:cs="Times New Roman"/>
                <w:kern w:val="2"/>
                <w:sz w:val="21"/>
                <w:szCs w:val="21"/>
                <w:lang w:bidi="ar"/>
              </w:rPr>
              <w:t>6</w:t>
            </w:r>
          </w:p>
        </w:tc>
        <w:tc>
          <w:tcPr>
            <w:tcW w:w="2552" w:type="dxa"/>
            <w:vAlign w:val="center"/>
          </w:tcPr>
          <w:p w14:paraId="2C931D26" w14:textId="5D2D3645"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液压车</w:t>
            </w:r>
          </w:p>
        </w:tc>
        <w:tc>
          <w:tcPr>
            <w:tcW w:w="2409" w:type="dxa"/>
            <w:vAlign w:val="center"/>
          </w:tcPr>
          <w:p w14:paraId="22D20C8E" w14:textId="3B94585A"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sidRPr="0097717A">
              <w:rPr>
                <w:rFonts w:ascii="Times New Roman" w:eastAsia="仿宋" w:hAnsi="Times New Roman" w:hint="eastAsia"/>
                <w:szCs w:val="21"/>
              </w:rPr>
              <w:t>/</w:t>
            </w:r>
          </w:p>
        </w:tc>
        <w:tc>
          <w:tcPr>
            <w:tcW w:w="1701" w:type="dxa"/>
            <w:vAlign w:val="center"/>
          </w:tcPr>
          <w:p w14:paraId="6F385D94" w14:textId="51A28709"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2</w:t>
            </w:r>
          </w:p>
        </w:tc>
        <w:tc>
          <w:tcPr>
            <w:tcW w:w="1709" w:type="dxa"/>
            <w:vAlign w:val="center"/>
          </w:tcPr>
          <w:p w14:paraId="606AE73B" w14:textId="5A1B2974" w:rsidR="00B36A71" w:rsidRPr="00CC2E69" w:rsidRDefault="00B36A71" w:rsidP="00B36A71">
            <w:pPr>
              <w:widowControl w:val="0"/>
              <w:spacing w:after="0"/>
              <w:jc w:val="center"/>
              <w:rPr>
                <w:rFonts w:ascii="Times New Roman" w:eastAsia="仿宋" w:hAnsi="Times New Roman" w:cs="Times New Roman"/>
                <w:kern w:val="2"/>
                <w:sz w:val="21"/>
                <w:szCs w:val="21"/>
                <w:lang w:bidi="ar"/>
              </w:rPr>
            </w:pPr>
            <w:r>
              <w:rPr>
                <w:rFonts w:ascii="Times New Roman" w:eastAsia="仿宋" w:hAnsi="Times New Roman" w:hint="eastAsia"/>
                <w:szCs w:val="21"/>
              </w:rPr>
              <w:t>2</w:t>
            </w:r>
          </w:p>
        </w:tc>
      </w:tr>
    </w:tbl>
    <w:p w14:paraId="31C50E2B" w14:textId="6FBD541F" w:rsidR="00CC2E69" w:rsidRDefault="00CC2E69">
      <w:pPr>
        <w:pStyle w:val="11"/>
        <w:spacing w:before="0" w:beforeAutospacing="0" w:after="0" w:afterAutospacing="0" w:line="360" w:lineRule="auto"/>
        <w:ind w:firstLineChars="200" w:firstLine="420"/>
        <w:jc w:val="center"/>
        <w:outlineLvl w:val="0"/>
        <w:rPr>
          <w:color w:val="000000"/>
          <w:sz w:val="21"/>
          <w:szCs w:val="21"/>
        </w:rPr>
      </w:pPr>
    </w:p>
    <w:p w14:paraId="3D5F1987" w14:textId="77777777" w:rsidR="00986353" w:rsidRDefault="00BB03BE">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lastRenderedPageBreak/>
        <w:t>三、环境保护设施建设情况</w:t>
      </w:r>
    </w:p>
    <w:p w14:paraId="0463338D" w14:textId="77777777"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（1）废气</w:t>
      </w:r>
    </w:p>
    <w:p w14:paraId="57FF7AB6" w14:textId="3AB841E0" w:rsidR="00CC2E69" w:rsidRPr="00B36A71"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hint="eastAsia"/>
          <w:color w:val="000000"/>
          <w:sz w:val="21"/>
          <w:szCs w:val="21"/>
        </w:rPr>
        <w:t>本项目产生的废气污染物主要为熔融挤出产生的非甲烷总烃，经水喷淋降温+二级活性炭吸附装置处理后通过15米高排气筒FQ1排放。</w:t>
      </w:r>
    </w:p>
    <w:p w14:paraId="2B900753" w14:textId="4B6E0D42" w:rsidR="00986353" w:rsidRDefault="00BB03BE" w:rsidP="00CC2E69">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（2）废水</w:t>
      </w:r>
    </w:p>
    <w:p w14:paraId="4F75B48C" w14:textId="3F9AB610" w:rsidR="00986353" w:rsidRPr="00B36A71"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color w:val="000000"/>
          <w:sz w:val="21"/>
          <w:szCs w:val="21"/>
        </w:rPr>
        <w:t>本项目无生产废水产生，</w:t>
      </w:r>
      <w:r w:rsidRPr="00B36A71">
        <w:rPr>
          <w:rFonts w:ascii="宋体" w:eastAsia="宋体" w:hAnsi="宋体" w:cs="宋体" w:hint="eastAsia"/>
          <w:color w:val="000000"/>
          <w:sz w:val="21"/>
          <w:szCs w:val="21"/>
        </w:rPr>
        <w:t>冷却水循环使用，不排放。</w:t>
      </w:r>
      <w:r w:rsidRPr="00B36A71">
        <w:rPr>
          <w:rFonts w:ascii="宋体" w:eastAsia="宋体" w:hAnsi="宋体" w:cs="宋体"/>
          <w:color w:val="000000"/>
          <w:sz w:val="21"/>
          <w:szCs w:val="21"/>
        </w:rPr>
        <w:t>生活污水经预处理达到接管标准后接管至</w:t>
      </w:r>
      <w:r w:rsidRPr="00B36A71">
        <w:rPr>
          <w:rFonts w:ascii="宋体" w:eastAsia="宋体" w:hAnsi="宋体" w:cs="宋体" w:hint="eastAsia"/>
          <w:color w:val="000000"/>
          <w:sz w:val="21"/>
          <w:szCs w:val="21"/>
        </w:rPr>
        <w:t>无锡玉祁永新污水处理有限公司</w:t>
      </w:r>
      <w:r w:rsidRPr="00B36A71">
        <w:rPr>
          <w:rFonts w:ascii="宋体" w:eastAsia="宋体" w:hAnsi="宋体" w:cs="宋体"/>
          <w:color w:val="000000"/>
          <w:sz w:val="21"/>
          <w:szCs w:val="21"/>
        </w:rPr>
        <w:t>集中处理</w:t>
      </w:r>
      <w:r w:rsidR="00BB03BE">
        <w:rPr>
          <w:rFonts w:ascii="宋体" w:eastAsia="宋体" w:hAnsi="宋体" w:cs="宋体" w:hint="eastAsia"/>
          <w:color w:val="000000"/>
          <w:sz w:val="21"/>
          <w:szCs w:val="21"/>
        </w:rPr>
        <w:t>。主要污染物为化学需氧量、悬浮物、氨氮、总磷、总氮。</w:t>
      </w:r>
    </w:p>
    <w:p w14:paraId="719C3DF1" w14:textId="77777777"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（3）噪声</w:t>
      </w:r>
    </w:p>
    <w:p w14:paraId="120133A6" w14:textId="77777777"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本项目噪声主要由各类生产设备产生，通过厂房隔声、距离衰减等措施控制噪声对周边环境的影响。</w:t>
      </w:r>
    </w:p>
    <w:p w14:paraId="53272CC3" w14:textId="77777777"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（4）固废</w:t>
      </w:r>
    </w:p>
    <w:p w14:paraId="23C345B8" w14:textId="77777777" w:rsidR="00B36A71" w:rsidRPr="00B36A71" w:rsidRDefault="00B36A71" w:rsidP="00B36A71">
      <w:pPr>
        <w:spacing w:after="0" w:line="360" w:lineRule="auto"/>
        <w:ind w:firstLineChars="200" w:firstLine="420"/>
        <w:outlineLvl w:val="1"/>
        <w:rPr>
          <w:rFonts w:ascii="宋体" w:eastAsia="宋体" w:hAnsi="宋体" w:cs="宋体" w:hint="eastAsia"/>
          <w:color w:val="000000"/>
          <w:sz w:val="21"/>
          <w:szCs w:val="21"/>
        </w:rPr>
      </w:pPr>
      <w:r w:rsidRPr="00B36A71">
        <w:rPr>
          <w:rFonts w:ascii="宋体" w:eastAsia="宋体" w:hAnsi="宋体" w:cs="宋体"/>
          <w:color w:val="000000"/>
          <w:sz w:val="21"/>
          <w:szCs w:val="21"/>
        </w:rPr>
        <w:t>本项目固体废物主要为</w:t>
      </w:r>
      <w:r w:rsidRPr="00B36A71">
        <w:rPr>
          <w:rFonts w:ascii="宋体" w:eastAsia="宋体" w:hAnsi="宋体" w:cs="宋体" w:hint="eastAsia"/>
          <w:color w:val="000000"/>
          <w:sz w:val="21"/>
          <w:szCs w:val="21"/>
        </w:rPr>
        <w:t>包装袋、废活性炭、废油及生活垃圾。</w:t>
      </w:r>
    </w:p>
    <w:p w14:paraId="5D12538B" w14:textId="65501614" w:rsidR="00CC2E69"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hint="eastAsia"/>
          <w:color w:val="000000"/>
          <w:sz w:val="21"/>
          <w:szCs w:val="21"/>
        </w:rPr>
        <w:t>其中包装袋外售综合利用；废活性炭、废油委托</w:t>
      </w:r>
      <w:r w:rsidRPr="00B36A71">
        <w:rPr>
          <w:rFonts w:ascii="宋体" w:eastAsia="宋体" w:hAnsi="宋体" w:cs="宋体"/>
          <w:color w:val="000000"/>
          <w:sz w:val="21"/>
          <w:szCs w:val="21"/>
        </w:rPr>
        <w:t>南通国启环保科技有限公司处置</w:t>
      </w:r>
      <w:r w:rsidRPr="00B36A71">
        <w:rPr>
          <w:rFonts w:ascii="宋体" w:eastAsia="宋体" w:hAnsi="宋体" w:cs="宋体" w:hint="eastAsia"/>
          <w:color w:val="000000"/>
          <w:sz w:val="21"/>
          <w:szCs w:val="21"/>
        </w:rPr>
        <w:t>；</w:t>
      </w:r>
      <w:r w:rsidRPr="00B36A71">
        <w:rPr>
          <w:rFonts w:ascii="宋体" w:eastAsia="宋体" w:hAnsi="宋体" w:cs="宋体"/>
          <w:color w:val="000000"/>
          <w:sz w:val="21"/>
          <w:szCs w:val="21"/>
        </w:rPr>
        <w:t>生活垃圾由环卫部门清运。</w:t>
      </w:r>
      <w:r w:rsidRPr="00B36A71">
        <w:rPr>
          <w:rFonts w:ascii="宋体" w:eastAsia="宋体" w:hAnsi="宋体" w:cs="宋体" w:hint="eastAsia"/>
          <w:color w:val="000000"/>
          <w:sz w:val="21"/>
          <w:szCs w:val="21"/>
        </w:rPr>
        <w:t>其中包装袋外售综合利用；废活性炭、废油委托</w:t>
      </w:r>
      <w:r w:rsidRPr="00B36A71">
        <w:rPr>
          <w:rFonts w:ascii="宋体" w:eastAsia="宋体" w:hAnsi="宋体" w:cs="宋体"/>
          <w:color w:val="000000"/>
          <w:sz w:val="21"/>
          <w:szCs w:val="21"/>
        </w:rPr>
        <w:t>南通国启环保科技有限公司处置</w:t>
      </w:r>
      <w:r w:rsidRPr="00B36A71">
        <w:rPr>
          <w:rFonts w:ascii="宋体" w:eastAsia="宋体" w:hAnsi="宋体" w:cs="宋体" w:hint="eastAsia"/>
          <w:color w:val="000000"/>
          <w:sz w:val="21"/>
          <w:szCs w:val="21"/>
        </w:rPr>
        <w:t>；</w:t>
      </w:r>
      <w:r w:rsidRPr="00B36A71">
        <w:rPr>
          <w:rFonts w:ascii="宋体" w:eastAsia="宋体" w:hAnsi="宋体" w:cs="宋体"/>
          <w:color w:val="000000"/>
          <w:sz w:val="21"/>
          <w:szCs w:val="21"/>
        </w:rPr>
        <w:t>生活垃圾由环卫部门清运。</w:t>
      </w:r>
    </w:p>
    <w:p w14:paraId="0D40322C" w14:textId="5B0EAD11" w:rsidR="00986353" w:rsidRDefault="00BB03BE" w:rsidP="00CC2E69">
      <w:pPr>
        <w:spacing w:after="0" w:line="360" w:lineRule="auto"/>
        <w:ind w:firstLineChars="200" w:firstLine="420"/>
        <w:outlineLvl w:val="1"/>
        <w:rPr>
          <w:b/>
          <w:color w:val="000000"/>
          <w:sz w:val="21"/>
          <w:szCs w:val="21"/>
        </w:rPr>
      </w:pPr>
      <w:r>
        <w:rPr>
          <w:rFonts w:hint="eastAsia"/>
          <w:b/>
          <w:color w:val="000000"/>
          <w:sz w:val="21"/>
          <w:szCs w:val="21"/>
        </w:rPr>
        <w:t>四、环境保护设施调试效果</w:t>
      </w:r>
    </w:p>
    <w:p w14:paraId="72D18C89" w14:textId="77777777"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1.废水</w:t>
      </w:r>
    </w:p>
    <w:p w14:paraId="797106A5" w14:textId="77777777" w:rsidR="00B36A71" w:rsidRPr="00B36A71" w:rsidRDefault="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hint="eastAsia"/>
          <w:color w:val="000000"/>
          <w:sz w:val="21"/>
          <w:szCs w:val="21"/>
        </w:rPr>
        <w:t>2021年8月27日、</w:t>
      </w:r>
      <w:r w:rsidRPr="00B36A71">
        <w:rPr>
          <w:rFonts w:ascii="宋体" w:eastAsia="宋体" w:hAnsi="宋体" w:cs="宋体"/>
          <w:color w:val="000000"/>
          <w:sz w:val="21"/>
          <w:szCs w:val="21"/>
        </w:rPr>
        <w:t>28</w:t>
      </w:r>
      <w:r w:rsidRPr="00B36A71">
        <w:rPr>
          <w:rFonts w:ascii="宋体" w:eastAsia="宋体" w:hAnsi="宋体" w:cs="宋体" w:hint="eastAsia"/>
          <w:color w:val="000000"/>
          <w:sz w:val="21"/>
          <w:szCs w:val="21"/>
        </w:rPr>
        <w:t>日验收监测期间，</w:t>
      </w:r>
      <w:r w:rsidRPr="00B36A71">
        <w:rPr>
          <w:rFonts w:ascii="宋体" w:eastAsia="宋体" w:hAnsi="宋体" w:cs="宋体"/>
          <w:color w:val="000000"/>
          <w:sz w:val="21"/>
          <w:szCs w:val="21"/>
        </w:rPr>
        <w:t>本项目生活污水中的化学需氧量、悬浮物日均值以及pH值各次范围均符合《污水综合排放标准》（GB8978-1996）表4三级标准；氨氮、总氮、总磷日均值符合《污水排入城镇下水道水质标准》（GB/T31962-2015）表1中A等级标准。</w:t>
      </w:r>
    </w:p>
    <w:p w14:paraId="3DC34AFF" w14:textId="6D0BD180"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2.废气</w:t>
      </w:r>
    </w:p>
    <w:p w14:paraId="7E1C8156" w14:textId="77777777" w:rsidR="00B36A71" w:rsidRPr="00B36A71"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color w:val="000000"/>
          <w:sz w:val="21"/>
          <w:szCs w:val="21"/>
        </w:rPr>
        <w:t>2021年</w:t>
      </w:r>
      <w:r w:rsidRPr="00B36A71">
        <w:rPr>
          <w:rFonts w:ascii="宋体" w:eastAsia="宋体" w:hAnsi="宋体" w:cs="宋体" w:hint="eastAsia"/>
          <w:color w:val="000000"/>
          <w:sz w:val="21"/>
          <w:szCs w:val="21"/>
        </w:rPr>
        <w:t>8月27日、</w:t>
      </w:r>
      <w:r w:rsidRPr="00B36A71">
        <w:rPr>
          <w:rFonts w:ascii="宋体" w:eastAsia="宋体" w:hAnsi="宋体" w:cs="宋体"/>
          <w:color w:val="000000"/>
          <w:sz w:val="21"/>
          <w:szCs w:val="21"/>
        </w:rPr>
        <w:t>28日验收监测期间，本项目有组织排放的</w:t>
      </w:r>
      <w:r w:rsidRPr="00B36A71">
        <w:rPr>
          <w:rFonts w:ascii="宋体" w:eastAsia="宋体" w:hAnsi="宋体" w:cs="宋体" w:hint="eastAsia"/>
          <w:color w:val="000000"/>
          <w:sz w:val="21"/>
          <w:szCs w:val="21"/>
        </w:rPr>
        <w:t>非甲烷总烃</w:t>
      </w:r>
      <w:r w:rsidRPr="00B36A71">
        <w:rPr>
          <w:rFonts w:ascii="宋体" w:eastAsia="宋体" w:hAnsi="宋体" w:cs="宋体"/>
          <w:color w:val="000000"/>
          <w:sz w:val="21"/>
          <w:szCs w:val="21"/>
        </w:rPr>
        <w:t>排放浓度符合</w:t>
      </w:r>
      <w:r w:rsidRPr="00B36A71">
        <w:rPr>
          <w:rFonts w:ascii="宋体" w:eastAsia="宋体" w:hAnsi="宋体" w:cs="宋体" w:hint="eastAsia"/>
          <w:color w:val="000000"/>
          <w:sz w:val="21"/>
          <w:szCs w:val="21"/>
        </w:rPr>
        <w:t>《合成树脂工业污染物排放标准》（G</w:t>
      </w:r>
      <w:r w:rsidRPr="00B36A71">
        <w:rPr>
          <w:rFonts w:ascii="宋体" w:eastAsia="宋体" w:hAnsi="宋体" w:cs="宋体"/>
          <w:color w:val="000000"/>
          <w:sz w:val="21"/>
          <w:szCs w:val="21"/>
        </w:rPr>
        <w:t>B31572-2015</w:t>
      </w:r>
      <w:r w:rsidRPr="00B36A71">
        <w:rPr>
          <w:rFonts w:ascii="宋体" w:eastAsia="宋体" w:hAnsi="宋体" w:cs="宋体" w:hint="eastAsia"/>
          <w:color w:val="000000"/>
          <w:sz w:val="21"/>
          <w:szCs w:val="21"/>
        </w:rPr>
        <w:t>）表5标准。</w:t>
      </w:r>
    </w:p>
    <w:p w14:paraId="269AB6B5" w14:textId="77777777" w:rsidR="00B36A71" w:rsidRPr="00B36A71"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color w:val="000000"/>
          <w:sz w:val="21"/>
          <w:szCs w:val="21"/>
        </w:rPr>
        <w:t>2021年</w:t>
      </w:r>
      <w:r w:rsidRPr="00B36A71">
        <w:rPr>
          <w:rFonts w:ascii="宋体" w:eastAsia="宋体" w:hAnsi="宋体" w:cs="宋体" w:hint="eastAsia"/>
          <w:color w:val="000000"/>
          <w:sz w:val="21"/>
          <w:szCs w:val="21"/>
        </w:rPr>
        <w:t>8月27日、</w:t>
      </w:r>
      <w:r w:rsidRPr="00B36A71">
        <w:rPr>
          <w:rFonts w:ascii="宋体" w:eastAsia="宋体" w:hAnsi="宋体" w:cs="宋体"/>
          <w:color w:val="000000"/>
          <w:sz w:val="21"/>
          <w:szCs w:val="21"/>
        </w:rPr>
        <w:t>28日验收监测期间，本项目无组织排放的</w:t>
      </w:r>
      <w:r w:rsidRPr="00B36A71">
        <w:rPr>
          <w:rFonts w:ascii="宋体" w:eastAsia="宋体" w:hAnsi="宋体" w:cs="宋体" w:hint="eastAsia"/>
          <w:color w:val="000000"/>
          <w:sz w:val="21"/>
          <w:szCs w:val="21"/>
        </w:rPr>
        <w:t>非甲烷总烃</w:t>
      </w:r>
      <w:r w:rsidRPr="00B36A71">
        <w:rPr>
          <w:rFonts w:ascii="宋体" w:eastAsia="宋体" w:hAnsi="宋体" w:cs="宋体"/>
          <w:color w:val="000000"/>
          <w:sz w:val="21"/>
          <w:szCs w:val="21"/>
        </w:rPr>
        <w:t>符合</w:t>
      </w:r>
      <w:r w:rsidRPr="00B36A71">
        <w:rPr>
          <w:rFonts w:ascii="宋体" w:eastAsia="宋体" w:hAnsi="宋体" w:cs="宋体" w:hint="eastAsia"/>
          <w:color w:val="000000"/>
          <w:sz w:val="21"/>
          <w:szCs w:val="21"/>
        </w:rPr>
        <w:t>《合成树脂工业污染物排放标准》（G</w:t>
      </w:r>
      <w:r w:rsidRPr="00B36A71">
        <w:rPr>
          <w:rFonts w:ascii="宋体" w:eastAsia="宋体" w:hAnsi="宋体" w:cs="宋体"/>
          <w:color w:val="000000"/>
          <w:sz w:val="21"/>
          <w:szCs w:val="21"/>
        </w:rPr>
        <w:t>B31572-2015</w:t>
      </w:r>
      <w:r w:rsidRPr="00B36A71">
        <w:rPr>
          <w:rFonts w:ascii="宋体" w:eastAsia="宋体" w:hAnsi="宋体" w:cs="宋体" w:hint="eastAsia"/>
          <w:color w:val="000000"/>
          <w:sz w:val="21"/>
          <w:szCs w:val="21"/>
        </w:rPr>
        <w:t>）表9标准.</w:t>
      </w:r>
    </w:p>
    <w:p w14:paraId="4222B413" w14:textId="77777777" w:rsidR="00B36A71" w:rsidRPr="00B36A71"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hint="eastAsia"/>
          <w:color w:val="000000"/>
          <w:sz w:val="21"/>
          <w:szCs w:val="21"/>
        </w:rPr>
        <w:t>厂区内VOCs无组织排放监控点浓度符合《挥发性有机物无组织排放控制标准》（GB37822-2019）表A.1特别排放限值要求。</w:t>
      </w:r>
    </w:p>
    <w:p w14:paraId="57A3E4BA" w14:textId="04F83C01" w:rsidR="00986353" w:rsidRDefault="00BB03BE" w:rsidP="00B36A71">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3.噪声</w:t>
      </w:r>
    </w:p>
    <w:p w14:paraId="46E0DB4A" w14:textId="77777777" w:rsidR="00B36A71" w:rsidRDefault="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color w:val="000000"/>
          <w:sz w:val="21"/>
          <w:szCs w:val="21"/>
        </w:rPr>
        <w:t>2021年</w:t>
      </w:r>
      <w:r w:rsidRPr="00B36A71">
        <w:rPr>
          <w:rFonts w:ascii="宋体" w:eastAsia="宋体" w:hAnsi="宋体" w:cs="宋体" w:hint="eastAsia"/>
          <w:color w:val="000000"/>
          <w:sz w:val="21"/>
          <w:szCs w:val="21"/>
        </w:rPr>
        <w:t>8月27日、</w:t>
      </w:r>
      <w:r w:rsidRPr="00B36A71">
        <w:rPr>
          <w:rFonts w:ascii="宋体" w:eastAsia="宋体" w:hAnsi="宋体" w:cs="宋体"/>
          <w:color w:val="000000"/>
          <w:sz w:val="21"/>
          <w:szCs w:val="21"/>
        </w:rPr>
        <w:t>28日验收监测期间，我公司昼</w:t>
      </w:r>
      <w:r w:rsidRPr="00B36A71">
        <w:rPr>
          <w:rFonts w:ascii="宋体" w:eastAsia="宋体" w:hAnsi="宋体" w:cs="宋体" w:hint="eastAsia"/>
          <w:color w:val="000000"/>
          <w:sz w:val="21"/>
          <w:szCs w:val="21"/>
        </w:rPr>
        <w:t>、夜间</w:t>
      </w:r>
      <w:r w:rsidRPr="00B36A71">
        <w:rPr>
          <w:rFonts w:ascii="宋体" w:eastAsia="宋体" w:hAnsi="宋体" w:cs="宋体"/>
          <w:color w:val="000000"/>
          <w:sz w:val="21"/>
          <w:szCs w:val="21"/>
        </w:rPr>
        <w:t>东</w:t>
      </w:r>
      <w:r w:rsidRPr="00B36A71">
        <w:rPr>
          <w:rFonts w:ascii="宋体" w:eastAsia="宋体" w:hAnsi="宋体" w:cs="宋体" w:hint="eastAsia"/>
          <w:color w:val="000000"/>
          <w:sz w:val="21"/>
          <w:szCs w:val="21"/>
        </w:rPr>
        <w:t>、南、西、北</w:t>
      </w:r>
      <w:r w:rsidRPr="00B36A71">
        <w:rPr>
          <w:rFonts w:ascii="宋体" w:eastAsia="宋体" w:hAnsi="宋体" w:cs="宋体"/>
          <w:color w:val="000000"/>
          <w:sz w:val="21"/>
          <w:szCs w:val="21"/>
        </w:rPr>
        <w:t>侧厂界噪声</w:t>
      </w:r>
      <w:r w:rsidRPr="00B36A71">
        <w:rPr>
          <w:rFonts w:ascii="宋体" w:eastAsia="宋体" w:hAnsi="宋体" w:cs="宋体" w:hint="eastAsia"/>
          <w:color w:val="000000"/>
          <w:sz w:val="21"/>
          <w:szCs w:val="21"/>
        </w:rPr>
        <w:t>均</w:t>
      </w:r>
      <w:r w:rsidRPr="00B36A71">
        <w:rPr>
          <w:rFonts w:ascii="宋体" w:eastAsia="宋体" w:hAnsi="宋体" w:cs="宋体"/>
          <w:color w:val="000000"/>
          <w:sz w:val="21"/>
          <w:szCs w:val="21"/>
        </w:rPr>
        <w:t>符合《工业企业厂界环境噪声排放标准》（GB12348-2008）表1中3类标准。</w:t>
      </w:r>
    </w:p>
    <w:p w14:paraId="6FAA8374" w14:textId="2399305B" w:rsidR="00986353" w:rsidRDefault="00BB03BE">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4.污染物排放总量</w:t>
      </w:r>
    </w:p>
    <w:p w14:paraId="1E04C2EC" w14:textId="77777777" w:rsidR="00B36A71" w:rsidRPr="00B36A71" w:rsidRDefault="00B36A71" w:rsidP="00B36A71">
      <w:pPr>
        <w:spacing w:after="0" w:line="360" w:lineRule="auto"/>
        <w:ind w:firstLineChars="200" w:firstLine="420"/>
        <w:outlineLvl w:val="1"/>
        <w:rPr>
          <w:rFonts w:ascii="宋体" w:eastAsia="宋体" w:hAnsi="宋体" w:cs="宋体" w:hint="eastAsia"/>
          <w:color w:val="000000"/>
          <w:sz w:val="21"/>
          <w:szCs w:val="21"/>
        </w:rPr>
      </w:pPr>
      <w:r w:rsidRPr="00B36A71">
        <w:rPr>
          <w:rFonts w:ascii="宋体" w:eastAsia="宋体" w:hAnsi="宋体" w:cs="宋体" w:hint="eastAsia"/>
          <w:color w:val="000000"/>
          <w:sz w:val="21"/>
          <w:szCs w:val="21"/>
        </w:rPr>
        <w:lastRenderedPageBreak/>
        <w:t>我公司排水水量无法核算，按员工人数核算，员工人数</w:t>
      </w:r>
      <w:r w:rsidRPr="00B36A71">
        <w:rPr>
          <w:rFonts w:ascii="宋体" w:eastAsia="宋体" w:hAnsi="宋体" w:cs="宋体"/>
          <w:color w:val="000000"/>
          <w:sz w:val="21"/>
          <w:szCs w:val="21"/>
        </w:rPr>
        <w:t>20</w:t>
      </w:r>
      <w:r w:rsidRPr="00B36A71">
        <w:rPr>
          <w:rFonts w:ascii="宋体" w:eastAsia="宋体" w:hAnsi="宋体" w:cs="宋体" w:hint="eastAsia"/>
          <w:color w:val="000000"/>
          <w:sz w:val="21"/>
          <w:szCs w:val="21"/>
        </w:rPr>
        <w:t>人。每人每天用水量约</w:t>
      </w:r>
      <w:r w:rsidRPr="00B36A71">
        <w:rPr>
          <w:rFonts w:ascii="宋体" w:eastAsia="宋体" w:hAnsi="宋体" w:cs="宋体"/>
          <w:color w:val="000000"/>
          <w:sz w:val="21"/>
          <w:szCs w:val="21"/>
        </w:rPr>
        <w:t>4</w:t>
      </w:r>
      <w:r w:rsidRPr="00B36A71">
        <w:rPr>
          <w:rFonts w:ascii="宋体" w:eastAsia="宋体" w:hAnsi="宋体" w:cs="宋体" w:hint="eastAsia"/>
          <w:color w:val="000000"/>
          <w:sz w:val="21"/>
          <w:szCs w:val="21"/>
        </w:rPr>
        <w:t>0L，折算系数80%，年排水量约为</w:t>
      </w:r>
      <w:r w:rsidRPr="00B36A71">
        <w:rPr>
          <w:rFonts w:ascii="宋体" w:eastAsia="宋体" w:hAnsi="宋体" w:cs="宋体"/>
          <w:color w:val="000000"/>
          <w:sz w:val="21"/>
          <w:szCs w:val="21"/>
        </w:rPr>
        <w:t>192</w:t>
      </w:r>
      <w:r w:rsidRPr="00B36A71">
        <w:rPr>
          <w:rFonts w:ascii="宋体" w:eastAsia="宋体" w:hAnsi="宋体" w:cs="宋体" w:hint="eastAsia"/>
          <w:color w:val="000000"/>
          <w:sz w:val="21"/>
          <w:szCs w:val="21"/>
        </w:rPr>
        <w:t>吨。</w:t>
      </w:r>
    </w:p>
    <w:p w14:paraId="67575749" w14:textId="7C37DD41" w:rsidR="0065411F" w:rsidRPr="0065411F" w:rsidRDefault="00B36A71" w:rsidP="00B36A71">
      <w:pPr>
        <w:spacing w:after="0" w:line="360" w:lineRule="auto"/>
        <w:ind w:firstLineChars="200" w:firstLine="420"/>
        <w:outlineLvl w:val="1"/>
        <w:rPr>
          <w:rFonts w:ascii="宋体" w:eastAsia="宋体" w:hAnsi="宋体" w:cs="宋体"/>
          <w:color w:val="000000"/>
          <w:sz w:val="21"/>
          <w:szCs w:val="21"/>
        </w:rPr>
      </w:pPr>
      <w:r w:rsidRPr="00B36A71">
        <w:rPr>
          <w:rFonts w:ascii="宋体" w:eastAsia="宋体" w:hAnsi="宋体" w:cs="宋体"/>
          <w:color w:val="000000"/>
          <w:sz w:val="21"/>
          <w:szCs w:val="21"/>
        </w:rPr>
        <w:t>根据监测期间数据核算，</w:t>
      </w:r>
      <w:r w:rsidRPr="00B36A71">
        <w:rPr>
          <w:rFonts w:ascii="宋体" w:eastAsia="宋体" w:hAnsi="宋体" w:cs="宋体" w:hint="eastAsia"/>
          <w:color w:val="000000"/>
          <w:sz w:val="21"/>
          <w:szCs w:val="21"/>
        </w:rPr>
        <w:t>我</w:t>
      </w:r>
      <w:r w:rsidRPr="00B36A71">
        <w:rPr>
          <w:rFonts w:ascii="宋体" w:eastAsia="宋体" w:hAnsi="宋体" w:cs="宋体"/>
          <w:color w:val="000000"/>
          <w:sz w:val="21"/>
          <w:szCs w:val="21"/>
        </w:rPr>
        <w:t>公司</w:t>
      </w:r>
      <w:r w:rsidRPr="00B36A71">
        <w:rPr>
          <w:rFonts w:ascii="宋体" w:eastAsia="宋体" w:hAnsi="宋体" w:cs="宋体" w:hint="eastAsia"/>
          <w:color w:val="000000"/>
          <w:sz w:val="21"/>
          <w:szCs w:val="21"/>
        </w:rPr>
        <w:t>年排放废水</w:t>
      </w:r>
      <w:r w:rsidRPr="00B36A71">
        <w:rPr>
          <w:rFonts w:ascii="宋体" w:eastAsia="宋体" w:hAnsi="宋体" w:cs="宋体"/>
          <w:color w:val="000000"/>
          <w:sz w:val="21"/>
          <w:szCs w:val="21"/>
        </w:rPr>
        <w:t>192</w:t>
      </w:r>
      <w:r w:rsidRPr="00B36A71">
        <w:rPr>
          <w:rFonts w:ascii="宋体" w:eastAsia="宋体" w:hAnsi="宋体" w:cs="宋体" w:hint="eastAsia"/>
          <w:color w:val="000000"/>
          <w:sz w:val="21"/>
          <w:szCs w:val="21"/>
        </w:rPr>
        <w:t>吨，废水中年排放COD</w:t>
      </w:r>
      <w:r w:rsidRPr="00B36A71">
        <w:rPr>
          <w:rFonts w:ascii="宋体" w:eastAsia="宋体" w:hAnsi="宋体" w:cs="宋体"/>
          <w:color w:val="000000"/>
          <w:sz w:val="21"/>
          <w:szCs w:val="21"/>
        </w:rPr>
        <w:t xml:space="preserve"> 0.0377</w:t>
      </w:r>
      <w:r w:rsidRPr="00B36A71">
        <w:rPr>
          <w:rFonts w:ascii="宋体" w:eastAsia="宋体" w:hAnsi="宋体" w:cs="宋体" w:hint="eastAsia"/>
          <w:color w:val="000000"/>
          <w:sz w:val="21"/>
          <w:szCs w:val="21"/>
        </w:rPr>
        <w:t>吨、SS</w:t>
      </w:r>
      <w:r w:rsidRPr="00B36A71">
        <w:rPr>
          <w:rFonts w:ascii="宋体" w:eastAsia="宋体" w:hAnsi="宋体" w:cs="宋体"/>
          <w:color w:val="000000"/>
          <w:sz w:val="21"/>
          <w:szCs w:val="21"/>
        </w:rPr>
        <w:t xml:space="preserve"> 0.0202</w:t>
      </w:r>
      <w:r w:rsidRPr="00B36A71">
        <w:rPr>
          <w:rFonts w:ascii="宋体" w:eastAsia="宋体" w:hAnsi="宋体" w:cs="宋体" w:hint="eastAsia"/>
          <w:color w:val="000000"/>
          <w:sz w:val="21"/>
          <w:szCs w:val="21"/>
        </w:rPr>
        <w:t>t/a、氨氮0.00</w:t>
      </w:r>
      <w:r w:rsidRPr="00B36A71">
        <w:rPr>
          <w:rFonts w:ascii="宋体" w:eastAsia="宋体" w:hAnsi="宋体" w:cs="宋体"/>
          <w:color w:val="000000"/>
          <w:sz w:val="21"/>
          <w:szCs w:val="21"/>
        </w:rPr>
        <w:t>23</w:t>
      </w:r>
      <w:r w:rsidRPr="00B36A71">
        <w:rPr>
          <w:rFonts w:ascii="宋体" w:eastAsia="宋体" w:hAnsi="宋体" w:cs="宋体" w:hint="eastAsia"/>
          <w:color w:val="000000"/>
          <w:sz w:val="21"/>
          <w:szCs w:val="21"/>
        </w:rPr>
        <w:t>t/a、总氮0.0</w:t>
      </w:r>
      <w:r w:rsidRPr="00B36A71">
        <w:rPr>
          <w:rFonts w:ascii="宋体" w:eastAsia="宋体" w:hAnsi="宋体" w:cs="宋体"/>
          <w:color w:val="000000"/>
          <w:sz w:val="21"/>
          <w:szCs w:val="21"/>
        </w:rPr>
        <w:t>055</w:t>
      </w:r>
      <w:r w:rsidRPr="00B36A71">
        <w:rPr>
          <w:rFonts w:ascii="宋体" w:eastAsia="宋体" w:hAnsi="宋体" w:cs="宋体" w:hint="eastAsia"/>
          <w:color w:val="000000"/>
          <w:sz w:val="21"/>
          <w:szCs w:val="21"/>
        </w:rPr>
        <w:t>t/a、总磷0.</w:t>
      </w:r>
      <w:r w:rsidRPr="00B36A71">
        <w:rPr>
          <w:rFonts w:ascii="宋体" w:eastAsia="宋体" w:hAnsi="宋体" w:cs="宋体"/>
          <w:color w:val="000000"/>
          <w:sz w:val="21"/>
          <w:szCs w:val="21"/>
        </w:rPr>
        <w:t>00026</w:t>
      </w:r>
      <w:r w:rsidRPr="00B36A71">
        <w:rPr>
          <w:rFonts w:ascii="宋体" w:eastAsia="宋体" w:hAnsi="宋体" w:cs="宋体" w:hint="eastAsia"/>
          <w:color w:val="000000"/>
          <w:sz w:val="21"/>
          <w:szCs w:val="21"/>
        </w:rPr>
        <w:t>t/a，年排放非甲烷总烃</w:t>
      </w:r>
      <w:r w:rsidRPr="00B36A71">
        <w:rPr>
          <w:rFonts w:ascii="宋体" w:eastAsia="宋体" w:hAnsi="宋体" w:cs="宋体"/>
          <w:color w:val="000000"/>
          <w:sz w:val="21"/>
          <w:szCs w:val="21"/>
        </w:rPr>
        <w:t>0.0386</w:t>
      </w:r>
      <w:r w:rsidRPr="00B36A71">
        <w:rPr>
          <w:rFonts w:ascii="宋体" w:eastAsia="宋体" w:hAnsi="宋体" w:cs="宋体" w:hint="eastAsia"/>
          <w:color w:val="000000"/>
          <w:sz w:val="21"/>
          <w:szCs w:val="21"/>
        </w:rPr>
        <w:t>吨，均符合本项目环评审批意见中核定的总量控制指标</w:t>
      </w:r>
      <w:r w:rsidR="0065411F" w:rsidRPr="0065411F">
        <w:rPr>
          <w:rFonts w:ascii="宋体" w:eastAsia="宋体" w:hAnsi="宋体" w:cs="宋体" w:hint="eastAsia"/>
          <w:color w:val="000000"/>
          <w:sz w:val="21"/>
          <w:szCs w:val="21"/>
        </w:rPr>
        <w:t>。</w:t>
      </w:r>
    </w:p>
    <w:p w14:paraId="0B4FBFF7" w14:textId="6DEA7691" w:rsidR="00986353" w:rsidRDefault="00BB03BE">
      <w:pPr>
        <w:adjustRightInd/>
        <w:snapToGrid/>
        <w:spacing w:after="0"/>
        <w:jc w:val="center"/>
        <w:rPr>
          <w:rFonts w:ascii="仿宋" w:eastAsia="宋体" w:hAnsi="仿宋" w:cs="宋体"/>
          <w:color w:val="000000"/>
        </w:rPr>
      </w:pPr>
      <w:r>
        <w:rPr>
          <w:rFonts w:ascii="仿宋" w:eastAsia="宋体" w:hAnsi="仿宋" w:cs="宋体"/>
          <w:color w:val="000000"/>
        </w:rPr>
        <w:t>表</w:t>
      </w:r>
      <w:r>
        <w:rPr>
          <w:rFonts w:ascii="仿宋" w:eastAsia="宋体" w:hAnsi="仿宋" w:cs="宋体"/>
          <w:color w:val="000000"/>
        </w:rPr>
        <w:t xml:space="preserve"> </w:t>
      </w:r>
      <w:r>
        <w:rPr>
          <w:rFonts w:ascii="TimesNewRomanPS-BoldMT" w:eastAsia="宋体" w:hAnsi="TimesNewRomanPS-BoldMT" w:cs="宋体" w:hint="eastAsia"/>
          <w:bCs/>
          <w:color w:val="000000"/>
        </w:rPr>
        <w:t>4-4-1</w:t>
      </w:r>
      <w:r>
        <w:rPr>
          <w:rFonts w:ascii="仿宋" w:eastAsia="宋体" w:hAnsi="仿宋" w:cs="宋体"/>
          <w:color w:val="000000"/>
        </w:rPr>
        <w:t>主要污染物排放总量</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817"/>
        <w:gridCol w:w="1559"/>
        <w:gridCol w:w="1666"/>
        <w:gridCol w:w="1508"/>
        <w:gridCol w:w="1508"/>
        <w:gridCol w:w="1464"/>
      </w:tblGrid>
      <w:tr w:rsidR="00B36A71" w:rsidRPr="003A416E" w14:paraId="2DA0599F" w14:textId="77777777" w:rsidTr="007E3DA0">
        <w:trPr>
          <w:trHeight w:val="340"/>
          <w:jc w:val="center"/>
        </w:trPr>
        <w:tc>
          <w:tcPr>
            <w:tcW w:w="817" w:type="dxa"/>
            <w:vAlign w:val="center"/>
          </w:tcPr>
          <w:p w14:paraId="074C0221" w14:textId="77777777" w:rsidR="00B36A71" w:rsidRPr="002F1D54" w:rsidRDefault="00B36A71" w:rsidP="00B36A71">
            <w:pPr>
              <w:tabs>
                <w:tab w:val="left" w:pos="210"/>
              </w:tabs>
              <w:spacing w:after="0"/>
              <w:jc w:val="center"/>
              <w:rPr>
                <w:rFonts w:ascii="Times New Roman" w:eastAsia="仿宋" w:hAnsi="Times New Roman"/>
                <w:b/>
                <w:szCs w:val="21"/>
              </w:rPr>
            </w:pPr>
            <w:r w:rsidRPr="002F1D54">
              <w:rPr>
                <w:rFonts w:ascii="Times New Roman" w:eastAsia="仿宋" w:hAnsi="Times New Roman"/>
                <w:b/>
                <w:szCs w:val="21"/>
              </w:rPr>
              <w:t>控制项目</w:t>
            </w:r>
          </w:p>
        </w:tc>
        <w:tc>
          <w:tcPr>
            <w:tcW w:w="1559" w:type="dxa"/>
            <w:vAlign w:val="center"/>
          </w:tcPr>
          <w:p w14:paraId="09FA6F21" w14:textId="77777777" w:rsidR="00B36A71" w:rsidRPr="002F1D54" w:rsidRDefault="00B36A71" w:rsidP="00B36A71">
            <w:pPr>
              <w:tabs>
                <w:tab w:val="left" w:pos="210"/>
              </w:tabs>
              <w:spacing w:after="0"/>
              <w:jc w:val="center"/>
              <w:rPr>
                <w:rFonts w:ascii="Times New Roman" w:eastAsia="仿宋" w:hAnsi="Times New Roman"/>
                <w:b/>
                <w:szCs w:val="21"/>
              </w:rPr>
            </w:pPr>
            <w:r w:rsidRPr="002F1D54">
              <w:rPr>
                <w:rFonts w:ascii="Times New Roman" w:eastAsia="仿宋" w:hAnsi="Times New Roman"/>
                <w:b/>
                <w:szCs w:val="21"/>
              </w:rPr>
              <w:t>污染物</w:t>
            </w:r>
          </w:p>
        </w:tc>
        <w:tc>
          <w:tcPr>
            <w:tcW w:w="1666" w:type="dxa"/>
            <w:vAlign w:val="center"/>
          </w:tcPr>
          <w:p w14:paraId="6785EEDF" w14:textId="77777777" w:rsidR="00B36A71" w:rsidRPr="002F1D54" w:rsidRDefault="00B36A71" w:rsidP="00B36A71">
            <w:pPr>
              <w:tabs>
                <w:tab w:val="left" w:pos="210"/>
              </w:tabs>
              <w:spacing w:after="0"/>
              <w:jc w:val="center"/>
              <w:rPr>
                <w:rFonts w:eastAsia="仿宋" w:hint="eastAsia"/>
                <w:b/>
                <w:szCs w:val="21"/>
              </w:rPr>
            </w:pPr>
            <w:r w:rsidRPr="002F1D54">
              <w:rPr>
                <w:rFonts w:eastAsia="仿宋" w:hint="eastAsia"/>
                <w:b/>
                <w:szCs w:val="21"/>
              </w:rPr>
              <w:t>两日均值</w:t>
            </w:r>
          </w:p>
        </w:tc>
        <w:tc>
          <w:tcPr>
            <w:tcW w:w="1508" w:type="dxa"/>
            <w:vAlign w:val="center"/>
          </w:tcPr>
          <w:p w14:paraId="1829CF75" w14:textId="77777777" w:rsidR="00B36A71" w:rsidRPr="002F1D54" w:rsidRDefault="00B36A71" w:rsidP="00B36A71">
            <w:pPr>
              <w:tabs>
                <w:tab w:val="left" w:pos="210"/>
              </w:tabs>
              <w:spacing w:after="0"/>
              <w:jc w:val="center"/>
              <w:rPr>
                <w:rFonts w:ascii="Times New Roman" w:eastAsia="仿宋" w:hAnsi="Times New Roman"/>
                <w:b/>
                <w:szCs w:val="21"/>
              </w:rPr>
            </w:pPr>
            <w:r w:rsidRPr="002F1D54">
              <w:rPr>
                <w:rFonts w:ascii="Times New Roman" w:eastAsia="仿宋" w:hAnsi="Times New Roman" w:hint="eastAsia"/>
                <w:b/>
                <w:szCs w:val="21"/>
              </w:rPr>
              <w:t>审批核定量</w:t>
            </w:r>
          </w:p>
        </w:tc>
        <w:tc>
          <w:tcPr>
            <w:tcW w:w="1508" w:type="dxa"/>
            <w:vAlign w:val="center"/>
          </w:tcPr>
          <w:p w14:paraId="17088B4E" w14:textId="77777777" w:rsidR="00B36A71" w:rsidRPr="002F1D54" w:rsidRDefault="00B36A71" w:rsidP="00B36A71">
            <w:pPr>
              <w:tabs>
                <w:tab w:val="left" w:pos="210"/>
              </w:tabs>
              <w:spacing w:after="0"/>
              <w:jc w:val="center"/>
              <w:rPr>
                <w:rFonts w:ascii="Times New Roman" w:eastAsia="仿宋" w:hAnsi="Times New Roman"/>
                <w:b/>
                <w:szCs w:val="21"/>
              </w:rPr>
            </w:pPr>
            <w:r w:rsidRPr="002F1D54">
              <w:rPr>
                <w:rFonts w:ascii="Times New Roman" w:eastAsia="仿宋" w:hAnsi="Times New Roman"/>
                <w:b/>
                <w:szCs w:val="21"/>
              </w:rPr>
              <w:t>实际年排放量</w:t>
            </w:r>
          </w:p>
        </w:tc>
        <w:tc>
          <w:tcPr>
            <w:tcW w:w="1464" w:type="dxa"/>
            <w:vAlign w:val="center"/>
          </w:tcPr>
          <w:p w14:paraId="3DD4F3F9" w14:textId="77777777" w:rsidR="00B36A71" w:rsidRPr="002F1D54" w:rsidRDefault="00B36A71" w:rsidP="00B36A71">
            <w:pPr>
              <w:tabs>
                <w:tab w:val="left" w:pos="210"/>
              </w:tabs>
              <w:spacing w:after="0"/>
              <w:jc w:val="center"/>
              <w:rPr>
                <w:rFonts w:eastAsia="仿宋"/>
                <w:b/>
                <w:szCs w:val="21"/>
              </w:rPr>
            </w:pPr>
            <w:r w:rsidRPr="002F1D54">
              <w:rPr>
                <w:rFonts w:eastAsia="仿宋" w:hint="eastAsia"/>
                <w:b/>
                <w:szCs w:val="21"/>
              </w:rPr>
              <w:t>是否符合总量控制指标</w:t>
            </w:r>
          </w:p>
        </w:tc>
      </w:tr>
      <w:tr w:rsidR="00B36A71" w:rsidRPr="003A416E" w14:paraId="22B30379" w14:textId="77777777" w:rsidTr="007E3DA0">
        <w:trPr>
          <w:trHeight w:val="340"/>
          <w:jc w:val="center"/>
        </w:trPr>
        <w:tc>
          <w:tcPr>
            <w:tcW w:w="817" w:type="dxa"/>
            <w:vMerge w:val="restart"/>
            <w:vAlign w:val="center"/>
          </w:tcPr>
          <w:p w14:paraId="7B9AEB25"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szCs w:val="21"/>
              </w:rPr>
              <w:t>废水</w:t>
            </w:r>
          </w:p>
        </w:tc>
        <w:tc>
          <w:tcPr>
            <w:tcW w:w="1559" w:type="dxa"/>
            <w:vAlign w:val="center"/>
          </w:tcPr>
          <w:p w14:paraId="013BE81A"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szCs w:val="21"/>
              </w:rPr>
              <w:t>废水量</w:t>
            </w:r>
          </w:p>
        </w:tc>
        <w:tc>
          <w:tcPr>
            <w:tcW w:w="1666" w:type="dxa"/>
            <w:vAlign w:val="center"/>
          </w:tcPr>
          <w:p w14:paraId="7243D215"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szCs w:val="21"/>
              </w:rPr>
              <w:t>/</w:t>
            </w:r>
          </w:p>
        </w:tc>
        <w:tc>
          <w:tcPr>
            <w:tcW w:w="1508" w:type="dxa"/>
            <w:vAlign w:val="center"/>
          </w:tcPr>
          <w:p w14:paraId="2EDF6904" w14:textId="77777777" w:rsidR="00B36A71" w:rsidRPr="002F1D54" w:rsidRDefault="00B36A71" w:rsidP="00B36A71">
            <w:pPr>
              <w:tabs>
                <w:tab w:val="left" w:pos="210"/>
              </w:tabs>
              <w:spacing w:after="0"/>
              <w:jc w:val="center"/>
              <w:rPr>
                <w:rFonts w:ascii="Times New Roman" w:eastAsia="仿宋" w:hAnsi="Times New Roman"/>
                <w:szCs w:val="21"/>
              </w:rPr>
            </w:pPr>
            <w:r>
              <w:rPr>
                <w:rFonts w:ascii="Times New Roman" w:eastAsia="仿宋" w:hAnsi="Times New Roman" w:hint="eastAsia"/>
                <w:szCs w:val="21"/>
              </w:rPr>
              <w:t>1</w:t>
            </w:r>
            <w:r>
              <w:rPr>
                <w:rFonts w:ascii="Times New Roman" w:eastAsia="仿宋" w:hAnsi="Times New Roman"/>
                <w:szCs w:val="21"/>
              </w:rPr>
              <w:t xml:space="preserve">92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4BCC875C" w14:textId="77777777" w:rsidR="00B36A71" w:rsidRPr="002F1D54" w:rsidRDefault="00B36A71" w:rsidP="00B36A71">
            <w:pPr>
              <w:tabs>
                <w:tab w:val="left" w:pos="210"/>
              </w:tabs>
              <w:spacing w:after="0"/>
              <w:jc w:val="center"/>
              <w:rPr>
                <w:rFonts w:eastAsia="仿宋"/>
                <w:szCs w:val="21"/>
              </w:rPr>
            </w:pPr>
            <w:r>
              <w:rPr>
                <w:rFonts w:ascii="Times New Roman" w:eastAsia="仿宋" w:hAnsi="Times New Roman" w:hint="eastAsia"/>
                <w:szCs w:val="21"/>
              </w:rPr>
              <w:t>1</w:t>
            </w:r>
            <w:r>
              <w:rPr>
                <w:rFonts w:ascii="Times New Roman" w:eastAsia="仿宋" w:hAnsi="Times New Roman"/>
                <w:szCs w:val="21"/>
              </w:rPr>
              <w:t xml:space="preserve">92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464" w:type="dxa"/>
            <w:vAlign w:val="center"/>
          </w:tcPr>
          <w:p w14:paraId="0071A426" w14:textId="77777777" w:rsidR="00B36A71" w:rsidRPr="002F1D54" w:rsidRDefault="00B36A71" w:rsidP="00B36A71">
            <w:pPr>
              <w:tabs>
                <w:tab w:val="left" w:pos="210"/>
              </w:tabs>
              <w:spacing w:after="0"/>
              <w:jc w:val="center"/>
              <w:rPr>
                <w:rFonts w:eastAsia="仿宋"/>
                <w:szCs w:val="21"/>
              </w:rPr>
            </w:pPr>
            <w:r w:rsidRPr="002F1D54">
              <w:rPr>
                <w:rFonts w:eastAsia="仿宋" w:hint="eastAsia"/>
                <w:szCs w:val="21"/>
              </w:rPr>
              <w:t>符合</w:t>
            </w:r>
          </w:p>
        </w:tc>
      </w:tr>
      <w:tr w:rsidR="00B36A71" w:rsidRPr="003A416E" w14:paraId="54C7A991" w14:textId="77777777" w:rsidTr="007E3DA0">
        <w:trPr>
          <w:trHeight w:val="340"/>
          <w:jc w:val="center"/>
        </w:trPr>
        <w:tc>
          <w:tcPr>
            <w:tcW w:w="817" w:type="dxa"/>
            <w:vMerge/>
            <w:vAlign w:val="center"/>
          </w:tcPr>
          <w:p w14:paraId="4898FF3E" w14:textId="77777777" w:rsidR="00B36A71" w:rsidRPr="002F1D54" w:rsidRDefault="00B36A71" w:rsidP="00B36A71">
            <w:pPr>
              <w:tabs>
                <w:tab w:val="left" w:pos="210"/>
              </w:tabs>
              <w:spacing w:after="0"/>
              <w:jc w:val="center"/>
              <w:rPr>
                <w:rFonts w:ascii="Times New Roman" w:eastAsia="仿宋" w:hAnsi="Times New Roman"/>
                <w:szCs w:val="21"/>
              </w:rPr>
            </w:pPr>
          </w:p>
        </w:tc>
        <w:tc>
          <w:tcPr>
            <w:tcW w:w="1559" w:type="dxa"/>
            <w:vAlign w:val="center"/>
          </w:tcPr>
          <w:p w14:paraId="3084BB0A"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hint="eastAsia"/>
                <w:szCs w:val="21"/>
              </w:rPr>
              <w:t>COD</w:t>
            </w:r>
          </w:p>
        </w:tc>
        <w:tc>
          <w:tcPr>
            <w:tcW w:w="1666" w:type="dxa"/>
            <w:vAlign w:val="center"/>
          </w:tcPr>
          <w:p w14:paraId="6F0831C4"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196</w:t>
            </w:r>
            <w:r w:rsidRPr="00646B25">
              <w:rPr>
                <w:rFonts w:ascii="Times New Roman" w:eastAsia="仿宋" w:hAnsi="Times New Roman"/>
                <w:szCs w:val="21"/>
              </w:rPr>
              <w:t xml:space="preserve"> </w:t>
            </w:r>
            <w:r w:rsidRPr="00646B25">
              <w:rPr>
                <w:rFonts w:ascii="Times New Roman" w:eastAsia="仿宋" w:hAnsi="Times New Roman" w:hint="eastAsia"/>
                <w:szCs w:val="21"/>
              </w:rPr>
              <w:t>mg</w:t>
            </w:r>
            <w:r w:rsidRPr="00646B25">
              <w:rPr>
                <w:rFonts w:ascii="Times New Roman" w:eastAsia="仿宋" w:hAnsi="Times New Roman"/>
                <w:szCs w:val="21"/>
              </w:rPr>
              <w:t>/L</w:t>
            </w:r>
          </w:p>
        </w:tc>
        <w:tc>
          <w:tcPr>
            <w:tcW w:w="1508" w:type="dxa"/>
            <w:vAlign w:val="center"/>
          </w:tcPr>
          <w:p w14:paraId="286A22D1" w14:textId="77777777" w:rsidR="00B36A71" w:rsidRPr="002F1D54" w:rsidRDefault="00B36A71" w:rsidP="00B36A71">
            <w:pPr>
              <w:tabs>
                <w:tab w:val="left" w:pos="210"/>
              </w:tabs>
              <w:spacing w:after="0"/>
              <w:jc w:val="center"/>
              <w:rPr>
                <w:rFonts w:ascii="Times New Roman" w:eastAsia="仿宋" w:hAnsi="Times New Roman" w:hint="eastAsia"/>
                <w:szCs w:val="21"/>
              </w:rPr>
            </w:pPr>
            <w:r>
              <w:rPr>
                <w:rFonts w:ascii="Times New Roman" w:eastAsia="仿宋" w:hAnsi="Times New Roman" w:hint="eastAsia"/>
                <w:szCs w:val="21"/>
              </w:rPr>
              <w:t>0</w:t>
            </w:r>
            <w:r>
              <w:rPr>
                <w:rFonts w:ascii="Times New Roman" w:eastAsia="仿宋" w:hAnsi="Times New Roman"/>
                <w:szCs w:val="21"/>
              </w:rPr>
              <w:t xml:space="preserve">.0576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0AC67416"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0.037</w:t>
            </w:r>
            <w:r>
              <w:rPr>
                <w:rFonts w:ascii="Times New Roman" w:eastAsia="仿宋" w:hAnsi="Times New Roman"/>
                <w:szCs w:val="21"/>
              </w:rPr>
              <w:t xml:space="preserve">7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464" w:type="dxa"/>
          </w:tcPr>
          <w:p w14:paraId="7A602065" w14:textId="77777777" w:rsidR="00B36A71" w:rsidRPr="002F1D54" w:rsidRDefault="00B36A71" w:rsidP="00B36A71">
            <w:pPr>
              <w:tabs>
                <w:tab w:val="left" w:pos="210"/>
              </w:tabs>
              <w:spacing w:after="0"/>
              <w:jc w:val="center"/>
              <w:rPr>
                <w:rFonts w:eastAsia="仿宋" w:hint="eastAsia"/>
                <w:szCs w:val="21"/>
              </w:rPr>
            </w:pPr>
            <w:r w:rsidRPr="002F1D54">
              <w:rPr>
                <w:rFonts w:eastAsia="仿宋" w:hint="eastAsia"/>
                <w:szCs w:val="21"/>
              </w:rPr>
              <w:t>符合</w:t>
            </w:r>
          </w:p>
        </w:tc>
      </w:tr>
      <w:tr w:rsidR="00B36A71" w:rsidRPr="003A416E" w14:paraId="7512118C" w14:textId="77777777" w:rsidTr="007E3DA0">
        <w:trPr>
          <w:trHeight w:val="340"/>
          <w:jc w:val="center"/>
        </w:trPr>
        <w:tc>
          <w:tcPr>
            <w:tcW w:w="817" w:type="dxa"/>
            <w:vMerge/>
            <w:vAlign w:val="center"/>
          </w:tcPr>
          <w:p w14:paraId="0AC108A7" w14:textId="77777777" w:rsidR="00B36A71" w:rsidRPr="002F1D54" w:rsidRDefault="00B36A71" w:rsidP="00B36A71">
            <w:pPr>
              <w:tabs>
                <w:tab w:val="left" w:pos="210"/>
              </w:tabs>
              <w:spacing w:after="0"/>
              <w:jc w:val="center"/>
              <w:rPr>
                <w:rFonts w:ascii="Times New Roman" w:eastAsia="仿宋" w:hAnsi="Times New Roman"/>
                <w:szCs w:val="21"/>
              </w:rPr>
            </w:pPr>
          </w:p>
        </w:tc>
        <w:tc>
          <w:tcPr>
            <w:tcW w:w="1559" w:type="dxa"/>
            <w:vAlign w:val="center"/>
          </w:tcPr>
          <w:p w14:paraId="2A75B481"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hint="eastAsia"/>
                <w:szCs w:val="21"/>
              </w:rPr>
              <w:t>SS</w:t>
            </w:r>
          </w:p>
        </w:tc>
        <w:tc>
          <w:tcPr>
            <w:tcW w:w="1666" w:type="dxa"/>
            <w:vAlign w:val="center"/>
          </w:tcPr>
          <w:p w14:paraId="009A776F"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105</w:t>
            </w:r>
            <w:r w:rsidRPr="00646B25">
              <w:rPr>
                <w:rFonts w:ascii="Times New Roman" w:eastAsia="仿宋" w:hAnsi="Times New Roman"/>
                <w:szCs w:val="21"/>
              </w:rPr>
              <w:t xml:space="preserve"> </w:t>
            </w:r>
            <w:r w:rsidRPr="00646B25">
              <w:rPr>
                <w:rFonts w:ascii="Times New Roman" w:eastAsia="仿宋" w:hAnsi="Times New Roman" w:hint="eastAsia"/>
                <w:szCs w:val="21"/>
              </w:rPr>
              <w:t>mg</w:t>
            </w:r>
            <w:r w:rsidRPr="00646B25">
              <w:rPr>
                <w:rFonts w:ascii="Times New Roman" w:eastAsia="仿宋" w:hAnsi="Times New Roman"/>
                <w:szCs w:val="21"/>
              </w:rPr>
              <w:t>/L</w:t>
            </w:r>
          </w:p>
        </w:tc>
        <w:tc>
          <w:tcPr>
            <w:tcW w:w="1508" w:type="dxa"/>
            <w:vAlign w:val="center"/>
          </w:tcPr>
          <w:p w14:paraId="40E48423" w14:textId="77777777" w:rsidR="00B36A71" w:rsidRPr="002F1D54" w:rsidRDefault="00B36A71" w:rsidP="00B36A71">
            <w:pPr>
              <w:tabs>
                <w:tab w:val="left" w:pos="210"/>
              </w:tabs>
              <w:spacing w:after="0"/>
              <w:jc w:val="center"/>
              <w:rPr>
                <w:rFonts w:ascii="Times New Roman" w:eastAsia="仿宋" w:hAnsi="Times New Roman" w:hint="eastAsia"/>
                <w:szCs w:val="21"/>
              </w:rPr>
            </w:pPr>
            <w:r>
              <w:rPr>
                <w:rFonts w:ascii="Times New Roman" w:eastAsia="仿宋" w:hAnsi="Times New Roman" w:hint="eastAsia"/>
                <w:szCs w:val="21"/>
              </w:rPr>
              <w:t>0</w:t>
            </w:r>
            <w:r>
              <w:rPr>
                <w:rFonts w:ascii="Times New Roman" w:eastAsia="仿宋" w:hAnsi="Times New Roman"/>
                <w:szCs w:val="21"/>
              </w:rPr>
              <w:t xml:space="preserve">.0384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19AE1001"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0.0202</w:t>
            </w:r>
            <w:r>
              <w:rPr>
                <w:rFonts w:ascii="Times New Roman" w:eastAsia="仿宋" w:hAnsi="Times New Roman"/>
                <w:szCs w:val="21"/>
              </w:rPr>
              <w:t xml:space="preserve">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464" w:type="dxa"/>
          </w:tcPr>
          <w:p w14:paraId="45A8BAC6" w14:textId="77777777" w:rsidR="00B36A71" w:rsidRPr="002F1D54" w:rsidRDefault="00B36A71" w:rsidP="00B36A71">
            <w:pPr>
              <w:tabs>
                <w:tab w:val="left" w:pos="210"/>
              </w:tabs>
              <w:spacing w:after="0"/>
              <w:jc w:val="center"/>
              <w:rPr>
                <w:rFonts w:eastAsia="仿宋" w:hint="eastAsia"/>
                <w:szCs w:val="21"/>
              </w:rPr>
            </w:pPr>
            <w:r w:rsidRPr="002F1D54">
              <w:rPr>
                <w:rFonts w:eastAsia="仿宋" w:hint="eastAsia"/>
                <w:szCs w:val="21"/>
              </w:rPr>
              <w:t>符合</w:t>
            </w:r>
          </w:p>
        </w:tc>
      </w:tr>
      <w:tr w:rsidR="00B36A71" w:rsidRPr="003A416E" w14:paraId="722BBE42" w14:textId="77777777" w:rsidTr="007E3DA0">
        <w:trPr>
          <w:trHeight w:val="340"/>
          <w:jc w:val="center"/>
        </w:trPr>
        <w:tc>
          <w:tcPr>
            <w:tcW w:w="817" w:type="dxa"/>
            <w:vMerge/>
            <w:vAlign w:val="center"/>
          </w:tcPr>
          <w:p w14:paraId="51381CF9" w14:textId="77777777" w:rsidR="00B36A71" w:rsidRPr="002F1D54" w:rsidRDefault="00B36A71" w:rsidP="00B36A71">
            <w:pPr>
              <w:tabs>
                <w:tab w:val="left" w:pos="210"/>
              </w:tabs>
              <w:spacing w:after="0"/>
              <w:jc w:val="center"/>
              <w:rPr>
                <w:rFonts w:ascii="Times New Roman" w:eastAsia="仿宋" w:hAnsi="Times New Roman"/>
                <w:szCs w:val="21"/>
              </w:rPr>
            </w:pPr>
          </w:p>
        </w:tc>
        <w:tc>
          <w:tcPr>
            <w:tcW w:w="1559" w:type="dxa"/>
            <w:vAlign w:val="center"/>
          </w:tcPr>
          <w:p w14:paraId="70BC52B2"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hint="eastAsia"/>
                <w:szCs w:val="21"/>
              </w:rPr>
              <w:t>氨氮</w:t>
            </w:r>
          </w:p>
        </w:tc>
        <w:tc>
          <w:tcPr>
            <w:tcW w:w="1666" w:type="dxa"/>
            <w:vAlign w:val="center"/>
          </w:tcPr>
          <w:p w14:paraId="03BD797E"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12.1</w:t>
            </w:r>
            <w:r w:rsidRPr="00646B25">
              <w:rPr>
                <w:rFonts w:ascii="Times New Roman" w:eastAsia="仿宋" w:hAnsi="Times New Roman"/>
                <w:szCs w:val="21"/>
              </w:rPr>
              <w:t xml:space="preserve"> </w:t>
            </w:r>
            <w:r w:rsidRPr="00646B25">
              <w:rPr>
                <w:rFonts w:ascii="Times New Roman" w:eastAsia="仿宋" w:hAnsi="Times New Roman" w:hint="eastAsia"/>
                <w:szCs w:val="21"/>
              </w:rPr>
              <w:t>mg</w:t>
            </w:r>
            <w:r w:rsidRPr="00646B25">
              <w:rPr>
                <w:rFonts w:ascii="Times New Roman" w:eastAsia="仿宋" w:hAnsi="Times New Roman"/>
                <w:szCs w:val="21"/>
              </w:rPr>
              <w:t>/L</w:t>
            </w:r>
          </w:p>
        </w:tc>
        <w:tc>
          <w:tcPr>
            <w:tcW w:w="1508" w:type="dxa"/>
            <w:vAlign w:val="center"/>
          </w:tcPr>
          <w:p w14:paraId="16EA8FF2" w14:textId="77777777" w:rsidR="00B36A71" w:rsidRPr="002F1D54" w:rsidRDefault="00B36A71" w:rsidP="00B36A71">
            <w:pPr>
              <w:tabs>
                <w:tab w:val="left" w:pos="210"/>
              </w:tabs>
              <w:spacing w:after="0"/>
              <w:jc w:val="center"/>
              <w:rPr>
                <w:rFonts w:ascii="Times New Roman" w:eastAsia="仿宋" w:hAnsi="Times New Roman" w:hint="eastAsia"/>
                <w:szCs w:val="21"/>
              </w:rPr>
            </w:pPr>
            <w:r>
              <w:rPr>
                <w:rFonts w:ascii="Times New Roman" w:eastAsia="仿宋" w:hAnsi="Times New Roman" w:hint="eastAsia"/>
                <w:szCs w:val="21"/>
              </w:rPr>
              <w:t>0</w:t>
            </w:r>
            <w:r>
              <w:rPr>
                <w:rFonts w:ascii="Times New Roman" w:eastAsia="仿宋" w:hAnsi="Times New Roman"/>
                <w:szCs w:val="21"/>
              </w:rPr>
              <w:t xml:space="preserve">.0058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3FA10118"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0.0023</w:t>
            </w:r>
            <w:r>
              <w:rPr>
                <w:rFonts w:ascii="Times New Roman" w:eastAsia="仿宋" w:hAnsi="Times New Roman"/>
                <w:szCs w:val="21"/>
              </w:rPr>
              <w:t xml:space="preserve">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464" w:type="dxa"/>
          </w:tcPr>
          <w:p w14:paraId="1EB3C8D1" w14:textId="77777777" w:rsidR="00B36A71" w:rsidRPr="002F1D54" w:rsidRDefault="00B36A71" w:rsidP="00B36A71">
            <w:pPr>
              <w:tabs>
                <w:tab w:val="left" w:pos="210"/>
              </w:tabs>
              <w:spacing w:after="0"/>
              <w:jc w:val="center"/>
              <w:rPr>
                <w:rFonts w:eastAsia="仿宋" w:hint="eastAsia"/>
                <w:szCs w:val="21"/>
              </w:rPr>
            </w:pPr>
            <w:r w:rsidRPr="002F1D54">
              <w:rPr>
                <w:rFonts w:eastAsia="仿宋" w:hint="eastAsia"/>
                <w:szCs w:val="21"/>
              </w:rPr>
              <w:t>符合</w:t>
            </w:r>
          </w:p>
        </w:tc>
      </w:tr>
      <w:tr w:rsidR="00B36A71" w:rsidRPr="003A416E" w14:paraId="25B56E76" w14:textId="77777777" w:rsidTr="007E3DA0">
        <w:trPr>
          <w:trHeight w:val="340"/>
          <w:jc w:val="center"/>
        </w:trPr>
        <w:tc>
          <w:tcPr>
            <w:tcW w:w="817" w:type="dxa"/>
            <w:vMerge/>
            <w:vAlign w:val="center"/>
          </w:tcPr>
          <w:p w14:paraId="132EDCFF" w14:textId="77777777" w:rsidR="00B36A71" w:rsidRPr="002F1D54" w:rsidRDefault="00B36A71" w:rsidP="00B36A71">
            <w:pPr>
              <w:tabs>
                <w:tab w:val="left" w:pos="210"/>
              </w:tabs>
              <w:spacing w:after="0"/>
              <w:jc w:val="center"/>
              <w:rPr>
                <w:rFonts w:ascii="Times New Roman" w:eastAsia="仿宋" w:hAnsi="Times New Roman"/>
                <w:szCs w:val="21"/>
              </w:rPr>
            </w:pPr>
          </w:p>
        </w:tc>
        <w:tc>
          <w:tcPr>
            <w:tcW w:w="1559" w:type="dxa"/>
            <w:vAlign w:val="center"/>
          </w:tcPr>
          <w:p w14:paraId="07E0CF39"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hint="eastAsia"/>
                <w:szCs w:val="21"/>
              </w:rPr>
              <w:t>总氮</w:t>
            </w:r>
          </w:p>
        </w:tc>
        <w:tc>
          <w:tcPr>
            <w:tcW w:w="1666" w:type="dxa"/>
            <w:vAlign w:val="center"/>
          </w:tcPr>
          <w:p w14:paraId="567A741B"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1.3</w:t>
            </w:r>
            <w:r>
              <w:rPr>
                <w:rFonts w:ascii="Times New Roman" w:eastAsia="仿宋" w:hAnsi="Times New Roman"/>
                <w:szCs w:val="21"/>
              </w:rPr>
              <w:t>8</w:t>
            </w:r>
            <w:r w:rsidRPr="00646B25">
              <w:rPr>
                <w:rFonts w:ascii="Times New Roman" w:eastAsia="仿宋" w:hAnsi="Times New Roman"/>
                <w:szCs w:val="21"/>
              </w:rPr>
              <w:t xml:space="preserve"> </w:t>
            </w:r>
            <w:r w:rsidRPr="00646B25">
              <w:rPr>
                <w:rFonts w:ascii="Times New Roman" w:eastAsia="仿宋" w:hAnsi="Times New Roman" w:hint="eastAsia"/>
                <w:szCs w:val="21"/>
              </w:rPr>
              <w:t>mg</w:t>
            </w:r>
            <w:r w:rsidRPr="00646B25">
              <w:rPr>
                <w:rFonts w:ascii="Times New Roman" w:eastAsia="仿宋" w:hAnsi="Times New Roman"/>
                <w:szCs w:val="21"/>
              </w:rPr>
              <w:t>/L</w:t>
            </w:r>
          </w:p>
        </w:tc>
        <w:tc>
          <w:tcPr>
            <w:tcW w:w="1508" w:type="dxa"/>
            <w:vAlign w:val="center"/>
          </w:tcPr>
          <w:p w14:paraId="32C504B4" w14:textId="77777777" w:rsidR="00B36A71" w:rsidRPr="002F1D54" w:rsidRDefault="00B36A71" w:rsidP="00B36A71">
            <w:pPr>
              <w:tabs>
                <w:tab w:val="left" w:pos="210"/>
              </w:tabs>
              <w:spacing w:after="0"/>
              <w:jc w:val="center"/>
              <w:rPr>
                <w:rFonts w:ascii="Times New Roman" w:eastAsia="仿宋" w:hAnsi="Times New Roman" w:hint="eastAsia"/>
                <w:szCs w:val="21"/>
              </w:rPr>
            </w:pPr>
            <w:r>
              <w:rPr>
                <w:rFonts w:ascii="Times New Roman" w:eastAsia="仿宋" w:hAnsi="Times New Roman" w:hint="eastAsia"/>
                <w:szCs w:val="21"/>
              </w:rPr>
              <w:t>0</w:t>
            </w:r>
            <w:r>
              <w:rPr>
                <w:rFonts w:ascii="Times New Roman" w:eastAsia="仿宋" w:hAnsi="Times New Roman"/>
                <w:szCs w:val="21"/>
              </w:rPr>
              <w:t xml:space="preserve">.0096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4B523F83"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0.005</w:t>
            </w:r>
            <w:r>
              <w:rPr>
                <w:rFonts w:ascii="Times New Roman" w:eastAsia="仿宋" w:hAnsi="Times New Roman"/>
                <w:szCs w:val="21"/>
              </w:rPr>
              <w:t xml:space="preserve">5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r w:rsidRPr="00646B25">
              <w:rPr>
                <w:rFonts w:ascii="Times New Roman" w:eastAsia="仿宋" w:hAnsi="Times New Roman" w:hint="eastAsia"/>
                <w:szCs w:val="21"/>
              </w:rPr>
              <w:t xml:space="preserve"> </w:t>
            </w:r>
          </w:p>
        </w:tc>
        <w:tc>
          <w:tcPr>
            <w:tcW w:w="1464" w:type="dxa"/>
          </w:tcPr>
          <w:p w14:paraId="2D5B616D" w14:textId="77777777" w:rsidR="00B36A71" w:rsidRPr="002F1D54" w:rsidRDefault="00B36A71" w:rsidP="00B36A71">
            <w:pPr>
              <w:tabs>
                <w:tab w:val="left" w:pos="210"/>
              </w:tabs>
              <w:spacing w:after="0"/>
              <w:jc w:val="center"/>
              <w:rPr>
                <w:rFonts w:eastAsia="仿宋" w:hint="eastAsia"/>
                <w:szCs w:val="21"/>
              </w:rPr>
            </w:pPr>
            <w:r w:rsidRPr="002F1D54">
              <w:rPr>
                <w:rFonts w:eastAsia="仿宋" w:hint="eastAsia"/>
                <w:szCs w:val="21"/>
              </w:rPr>
              <w:t>符合</w:t>
            </w:r>
          </w:p>
        </w:tc>
      </w:tr>
      <w:tr w:rsidR="00B36A71" w:rsidRPr="003A416E" w14:paraId="00EFDF85" w14:textId="77777777" w:rsidTr="007E3DA0">
        <w:trPr>
          <w:trHeight w:val="340"/>
          <w:jc w:val="center"/>
        </w:trPr>
        <w:tc>
          <w:tcPr>
            <w:tcW w:w="817" w:type="dxa"/>
            <w:vMerge/>
            <w:vAlign w:val="center"/>
          </w:tcPr>
          <w:p w14:paraId="3C5B72DE" w14:textId="77777777" w:rsidR="00B36A71" w:rsidRPr="002F1D54" w:rsidRDefault="00B36A71" w:rsidP="00B36A71">
            <w:pPr>
              <w:tabs>
                <w:tab w:val="left" w:pos="210"/>
              </w:tabs>
              <w:spacing w:after="0"/>
              <w:jc w:val="center"/>
              <w:rPr>
                <w:rFonts w:ascii="Times New Roman" w:eastAsia="仿宋" w:hAnsi="Times New Roman"/>
                <w:szCs w:val="21"/>
              </w:rPr>
            </w:pPr>
          </w:p>
        </w:tc>
        <w:tc>
          <w:tcPr>
            <w:tcW w:w="1559" w:type="dxa"/>
            <w:vAlign w:val="center"/>
          </w:tcPr>
          <w:p w14:paraId="1B528BDD" w14:textId="77777777" w:rsidR="00B36A71" w:rsidRPr="002F1D54" w:rsidRDefault="00B36A71" w:rsidP="00B36A71">
            <w:pPr>
              <w:tabs>
                <w:tab w:val="left" w:pos="210"/>
              </w:tabs>
              <w:spacing w:after="0"/>
              <w:jc w:val="center"/>
              <w:rPr>
                <w:rFonts w:ascii="Times New Roman" w:eastAsia="仿宋" w:hAnsi="Times New Roman"/>
                <w:szCs w:val="21"/>
              </w:rPr>
            </w:pPr>
            <w:r w:rsidRPr="002F1D54">
              <w:rPr>
                <w:rFonts w:ascii="Times New Roman" w:eastAsia="仿宋" w:hAnsi="Times New Roman" w:hint="eastAsia"/>
                <w:szCs w:val="21"/>
              </w:rPr>
              <w:t>总磷</w:t>
            </w:r>
          </w:p>
        </w:tc>
        <w:tc>
          <w:tcPr>
            <w:tcW w:w="1666" w:type="dxa"/>
            <w:vAlign w:val="center"/>
          </w:tcPr>
          <w:p w14:paraId="48CC4F43"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28.6</w:t>
            </w:r>
            <w:r w:rsidRPr="00646B25">
              <w:rPr>
                <w:rFonts w:ascii="Times New Roman" w:eastAsia="仿宋" w:hAnsi="Times New Roman"/>
                <w:szCs w:val="21"/>
              </w:rPr>
              <w:t xml:space="preserve"> </w:t>
            </w:r>
            <w:r w:rsidRPr="00646B25">
              <w:rPr>
                <w:rFonts w:ascii="Times New Roman" w:eastAsia="仿宋" w:hAnsi="Times New Roman" w:hint="eastAsia"/>
                <w:szCs w:val="21"/>
              </w:rPr>
              <w:t>mg</w:t>
            </w:r>
            <w:r w:rsidRPr="00646B25">
              <w:rPr>
                <w:rFonts w:ascii="Times New Roman" w:eastAsia="仿宋" w:hAnsi="Times New Roman"/>
                <w:szCs w:val="21"/>
              </w:rPr>
              <w:t>/L</w:t>
            </w:r>
          </w:p>
        </w:tc>
        <w:tc>
          <w:tcPr>
            <w:tcW w:w="1508" w:type="dxa"/>
            <w:vAlign w:val="center"/>
          </w:tcPr>
          <w:p w14:paraId="61099D19" w14:textId="77777777" w:rsidR="00B36A71" w:rsidRPr="002F1D54" w:rsidRDefault="00B36A71" w:rsidP="00B36A71">
            <w:pPr>
              <w:tabs>
                <w:tab w:val="left" w:pos="210"/>
              </w:tabs>
              <w:spacing w:after="0"/>
              <w:jc w:val="center"/>
              <w:rPr>
                <w:rFonts w:ascii="Times New Roman" w:eastAsia="仿宋" w:hAnsi="Times New Roman" w:hint="eastAsia"/>
                <w:szCs w:val="21"/>
              </w:rPr>
            </w:pPr>
            <w:r>
              <w:rPr>
                <w:rFonts w:ascii="Times New Roman" w:eastAsia="仿宋" w:hAnsi="Times New Roman" w:hint="eastAsia"/>
                <w:szCs w:val="21"/>
              </w:rPr>
              <w:t>0</w:t>
            </w:r>
            <w:r>
              <w:rPr>
                <w:rFonts w:ascii="Times New Roman" w:eastAsia="仿宋" w:hAnsi="Times New Roman"/>
                <w:szCs w:val="21"/>
              </w:rPr>
              <w:t xml:space="preserve">.00058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48DCA72A" w14:textId="77777777" w:rsidR="00B36A71" w:rsidRPr="002F1D54" w:rsidRDefault="00B36A71" w:rsidP="00B36A71">
            <w:pPr>
              <w:tabs>
                <w:tab w:val="left" w:pos="210"/>
              </w:tabs>
              <w:spacing w:after="0"/>
              <w:jc w:val="center"/>
              <w:rPr>
                <w:rFonts w:ascii="Times New Roman" w:eastAsia="仿宋" w:hAnsi="Times New Roman" w:hint="eastAsia"/>
                <w:szCs w:val="21"/>
              </w:rPr>
            </w:pPr>
            <w:r w:rsidRPr="00646B25">
              <w:rPr>
                <w:rFonts w:ascii="Times New Roman" w:eastAsia="仿宋" w:hAnsi="Times New Roman" w:hint="eastAsia"/>
                <w:szCs w:val="21"/>
              </w:rPr>
              <w:t>0.00026</w:t>
            </w:r>
            <w:r>
              <w:rPr>
                <w:rFonts w:ascii="Times New Roman" w:eastAsia="仿宋" w:hAnsi="Times New Roman"/>
                <w:szCs w:val="21"/>
              </w:rPr>
              <w:t xml:space="preserve">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464" w:type="dxa"/>
          </w:tcPr>
          <w:p w14:paraId="5405E35A" w14:textId="77777777" w:rsidR="00B36A71" w:rsidRPr="002F1D54" w:rsidRDefault="00B36A71" w:rsidP="00B36A71">
            <w:pPr>
              <w:tabs>
                <w:tab w:val="left" w:pos="210"/>
              </w:tabs>
              <w:spacing w:after="0"/>
              <w:jc w:val="center"/>
              <w:rPr>
                <w:rFonts w:eastAsia="仿宋" w:hint="eastAsia"/>
                <w:szCs w:val="21"/>
              </w:rPr>
            </w:pPr>
            <w:r w:rsidRPr="002F1D54">
              <w:rPr>
                <w:rFonts w:eastAsia="仿宋" w:hint="eastAsia"/>
                <w:szCs w:val="21"/>
              </w:rPr>
              <w:t>符合</w:t>
            </w:r>
          </w:p>
        </w:tc>
      </w:tr>
      <w:tr w:rsidR="00B36A71" w:rsidRPr="003A416E" w14:paraId="7BAB2164" w14:textId="77777777" w:rsidTr="007E3DA0">
        <w:trPr>
          <w:trHeight w:val="340"/>
          <w:jc w:val="center"/>
        </w:trPr>
        <w:tc>
          <w:tcPr>
            <w:tcW w:w="817" w:type="dxa"/>
            <w:vAlign w:val="center"/>
          </w:tcPr>
          <w:p w14:paraId="0D5EB368" w14:textId="77777777" w:rsidR="00B36A71" w:rsidRPr="002E1557" w:rsidRDefault="00B36A71" w:rsidP="00B36A71">
            <w:pPr>
              <w:tabs>
                <w:tab w:val="left" w:pos="210"/>
              </w:tabs>
              <w:spacing w:after="0"/>
              <w:jc w:val="center"/>
              <w:rPr>
                <w:rFonts w:ascii="Times New Roman" w:eastAsia="仿宋" w:hAnsi="Times New Roman" w:hint="eastAsia"/>
                <w:szCs w:val="21"/>
              </w:rPr>
            </w:pPr>
            <w:r w:rsidRPr="002E1557">
              <w:rPr>
                <w:rFonts w:ascii="Times New Roman" w:eastAsia="仿宋" w:hAnsi="Times New Roman" w:hint="eastAsia"/>
                <w:szCs w:val="21"/>
              </w:rPr>
              <w:t>废气</w:t>
            </w:r>
          </w:p>
        </w:tc>
        <w:tc>
          <w:tcPr>
            <w:tcW w:w="1559" w:type="dxa"/>
            <w:vAlign w:val="center"/>
          </w:tcPr>
          <w:p w14:paraId="05155834" w14:textId="77777777" w:rsidR="00B36A71" w:rsidRPr="002E1557" w:rsidRDefault="00B36A71" w:rsidP="00B36A71">
            <w:pPr>
              <w:tabs>
                <w:tab w:val="left" w:pos="210"/>
              </w:tabs>
              <w:spacing w:after="0"/>
              <w:jc w:val="center"/>
              <w:rPr>
                <w:rFonts w:ascii="Times New Roman" w:eastAsia="仿宋" w:hAnsi="Times New Roman"/>
                <w:szCs w:val="21"/>
              </w:rPr>
            </w:pPr>
            <w:r>
              <w:rPr>
                <w:rFonts w:ascii="Times New Roman" w:eastAsia="仿宋" w:hAnsi="Times New Roman" w:hint="eastAsia"/>
                <w:szCs w:val="21"/>
              </w:rPr>
              <w:t>非甲烷总烃</w:t>
            </w:r>
          </w:p>
        </w:tc>
        <w:tc>
          <w:tcPr>
            <w:tcW w:w="1666" w:type="dxa"/>
            <w:vAlign w:val="center"/>
          </w:tcPr>
          <w:p w14:paraId="1EE58372" w14:textId="77777777" w:rsidR="00B36A71" w:rsidRPr="00D87990" w:rsidRDefault="00B36A71" w:rsidP="00B36A71">
            <w:pPr>
              <w:tabs>
                <w:tab w:val="left" w:pos="210"/>
              </w:tabs>
              <w:spacing w:after="0"/>
              <w:jc w:val="center"/>
              <w:rPr>
                <w:rFonts w:ascii="Times New Roman" w:eastAsia="仿宋" w:hAnsi="Times New Roman" w:hint="eastAsia"/>
                <w:szCs w:val="21"/>
              </w:rPr>
            </w:pPr>
            <w:r>
              <w:rPr>
                <w:rFonts w:ascii="Times New Roman" w:hAnsi="Times New Roman"/>
                <w:szCs w:val="21"/>
              </w:rPr>
              <w:t>5.36</w:t>
            </w:r>
            <w:r>
              <w:rPr>
                <w:rFonts w:ascii="Times New Roman" w:hAnsi="Times New Roman" w:hint="eastAsia"/>
                <w:szCs w:val="21"/>
              </w:rPr>
              <w:t>×</w:t>
            </w:r>
            <w:r>
              <w:rPr>
                <w:rFonts w:ascii="Times New Roman" w:hAnsi="Times New Roman"/>
                <w:szCs w:val="21"/>
              </w:rPr>
              <w:t>10</w:t>
            </w:r>
            <w:r w:rsidRPr="00BD1AC8">
              <w:rPr>
                <w:rFonts w:ascii="Times New Roman" w:hAnsi="Times New Roman"/>
                <w:szCs w:val="21"/>
                <w:vertAlign w:val="superscript"/>
              </w:rPr>
              <w:t xml:space="preserve">-3 </w:t>
            </w:r>
            <w:r w:rsidRPr="00D87990">
              <w:rPr>
                <w:rFonts w:ascii="Times New Roman" w:hAnsi="Times New Roman" w:hint="eastAsia"/>
                <w:szCs w:val="21"/>
              </w:rPr>
              <w:t>kg</w:t>
            </w:r>
            <w:r w:rsidRPr="00D87990">
              <w:rPr>
                <w:rFonts w:ascii="Times New Roman" w:hAnsi="Times New Roman"/>
                <w:szCs w:val="21"/>
              </w:rPr>
              <w:t>/</w:t>
            </w:r>
            <w:r w:rsidRPr="00D87990">
              <w:rPr>
                <w:rFonts w:ascii="Times New Roman" w:hAnsi="Times New Roman" w:hint="eastAsia"/>
                <w:szCs w:val="21"/>
              </w:rPr>
              <w:t>h</w:t>
            </w:r>
          </w:p>
        </w:tc>
        <w:tc>
          <w:tcPr>
            <w:tcW w:w="1508" w:type="dxa"/>
            <w:vAlign w:val="center"/>
          </w:tcPr>
          <w:p w14:paraId="65F05F40" w14:textId="77777777" w:rsidR="00B36A71" w:rsidRPr="00D87990" w:rsidRDefault="00B36A71" w:rsidP="00B36A71">
            <w:pPr>
              <w:tabs>
                <w:tab w:val="left" w:pos="210"/>
              </w:tabs>
              <w:spacing w:after="0"/>
              <w:jc w:val="center"/>
              <w:rPr>
                <w:rFonts w:ascii="Times New Roman" w:eastAsia="仿宋" w:hAnsi="Times New Roman" w:hint="eastAsia"/>
                <w:szCs w:val="21"/>
              </w:rPr>
            </w:pPr>
            <w:r>
              <w:rPr>
                <w:rFonts w:ascii="Times New Roman" w:eastAsia="仿宋" w:hAnsi="Times New Roman" w:hint="eastAsia"/>
                <w:szCs w:val="21"/>
              </w:rPr>
              <w:t>0</w:t>
            </w:r>
            <w:r>
              <w:rPr>
                <w:rFonts w:ascii="Times New Roman" w:eastAsia="仿宋" w:hAnsi="Times New Roman"/>
                <w:szCs w:val="21"/>
              </w:rPr>
              <w:t xml:space="preserve">.0396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508" w:type="dxa"/>
            <w:vAlign w:val="center"/>
          </w:tcPr>
          <w:p w14:paraId="51831099" w14:textId="77777777" w:rsidR="00B36A71" w:rsidRPr="00D87990" w:rsidRDefault="00B36A71" w:rsidP="00B36A71">
            <w:pPr>
              <w:tabs>
                <w:tab w:val="left" w:pos="210"/>
              </w:tabs>
              <w:spacing w:after="0"/>
              <w:jc w:val="center"/>
              <w:rPr>
                <w:rFonts w:ascii="Times New Roman" w:eastAsia="仿宋" w:hAnsi="Times New Roman"/>
                <w:szCs w:val="21"/>
              </w:rPr>
            </w:pPr>
            <w:r>
              <w:rPr>
                <w:rFonts w:ascii="Times New Roman" w:eastAsia="仿宋" w:hAnsi="Times New Roman"/>
                <w:szCs w:val="21"/>
              </w:rPr>
              <w:t xml:space="preserve">0.0386 </w:t>
            </w:r>
            <w:r>
              <w:rPr>
                <w:rFonts w:ascii="Times New Roman" w:eastAsia="仿宋" w:hAnsi="Times New Roman" w:hint="eastAsia"/>
                <w:szCs w:val="21"/>
              </w:rPr>
              <w:t>t</w:t>
            </w:r>
            <w:r>
              <w:rPr>
                <w:rFonts w:ascii="Times New Roman" w:eastAsia="仿宋" w:hAnsi="Times New Roman"/>
                <w:szCs w:val="21"/>
              </w:rPr>
              <w:t>/</w:t>
            </w:r>
            <w:r>
              <w:rPr>
                <w:rFonts w:ascii="Times New Roman" w:eastAsia="仿宋" w:hAnsi="Times New Roman" w:hint="eastAsia"/>
                <w:szCs w:val="21"/>
              </w:rPr>
              <w:t>a</w:t>
            </w:r>
          </w:p>
        </w:tc>
        <w:tc>
          <w:tcPr>
            <w:tcW w:w="1464" w:type="dxa"/>
          </w:tcPr>
          <w:p w14:paraId="2C20A6C8" w14:textId="77777777" w:rsidR="00B36A71" w:rsidRPr="00D87990" w:rsidRDefault="00B36A71" w:rsidP="00B36A71">
            <w:pPr>
              <w:tabs>
                <w:tab w:val="left" w:pos="210"/>
              </w:tabs>
              <w:spacing w:after="0"/>
              <w:jc w:val="center"/>
              <w:rPr>
                <w:rFonts w:eastAsia="仿宋"/>
                <w:szCs w:val="21"/>
              </w:rPr>
            </w:pPr>
            <w:r w:rsidRPr="00D87990">
              <w:rPr>
                <w:rFonts w:eastAsia="仿宋" w:hint="eastAsia"/>
                <w:szCs w:val="21"/>
              </w:rPr>
              <w:t>符合</w:t>
            </w:r>
          </w:p>
        </w:tc>
      </w:tr>
    </w:tbl>
    <w:p w14:paraId="5E646076" w14:textId="77777777" w:rsidR="00986353" w:rsidRDefault="00BB03BE">
      <w:pPr>
        <w:pStyle w:val="1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五、工程建设对环境的影响</w:t>
      </w:r>
    </w:p>
    <w:p w14:paraId="4BD58734" w14:textId="7160E7D2" w:rsidR="00986353" w:rsidRDefault="00BB03BE">
      <w:pPr>
        <w:pStyle w:val="11"/>
        <w:spacing w:before="0" w:beforeAutospacing="0" w:after="0" w:afterAutospacing="0" w:line="360" w:lineRule="auto"/>
        <w:ind w:firstLineChars="200" w:firstLine="42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sidR="00B36A71">
        <w:rPr>
          <w:rFonts w:hint="eastAsia"/>
          <w:color w:val="000000"/>
          <w:sz w:val="21"/>
          <w:szCs w:val="21"/>
        </w:rPr>
        <w:t>无锡沅邦纺织科技有限公司产业用纺织制成品项目</w:t>
      </w:r>
      <w:r>
        <w:rPr>
          <w:color w:val="000000"/>
          <w:sz w:val="21"/>
          <w:szCs w:val="21"/>
        </w:rPr>
        <w:t>的建设是可行的。</w:t>
      </w:r>
    </w:p>
    <w:p w14:paraId="59B0A4CA" w14:textId="77777777" w:rsidR="00986353" w:rsidRDefault="00BB03BE">
      <w:pPr>
        <w:pStyle w:val="1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六、验收结论</w:t>
      </w:r>
    </w:p>
    <w:p w14:paraId="68AEBD7C" w14:textId="7C6FCDD3" w:rsidR="00986353" w:rsidRDefault="00B36A71">
      <w:pPr>
        <w:pStyle w:val="11"/>
        <w:spacing w:before="0" w:beforeAutospacing="0" w:after="0" w:afterAutospacing="0" w:line="360" w:lineRule="auto"/>
        <w:ind w:firstLineChars="200" w:firstLine="420"/>
        <w:jc w:val="both"/>
        <w:outlineLvl w:val="0"/>
        <w:rPr>
          <w:color w:val="000000"/>
          <w:sz w:val="21"/>
          <w:szCs w:val="21"/>
        </w:rPr>
      </w:pPr>
      <w:r>
        <w:rPr>
          <w:rFonts w:hint="eastAsia"/>
          <w:sz w:val="21"/>
          <w:szCs w:val="21"/>
        </w:rPr>
        <w:t>无锡沅邦纺织科技有限公司</w:t>
      </w:r>
      <w:r>
        <w:rPr>
          <w:rFonts w:hint="eastAsia"/>
          <w:color w:val="000000"/>
          <w:sz w:val="21"/>
          <w:szCs w:val="21"/>
        </w:rPr>
        <w:t>产业用纺织制成品项目</w:t>
      </w:r>
      <w:r w:rsidR="00BB03BE">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环科检测有限公司监测其污染物能达标排放，污染物年排放总量符合环评及批复的相关要求，本项目通过竣工环境保护验收。</w:t>
      </w:r>
    </w:p>
    <w:p w14:paraId="12A831AA" w14:textId="77777777" w:rsidR="00986353" w:rsidRDefault="00BB03BE">
      <w:pPr>
        <w:pStyle w:val="11"/>
        <w:numPr>
          <w:ilvl w:val="0"/>
          <w:numId w:val="2"/>
        </w:numPr>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后续要求</w:t>
      </w:r>
    </w:p>
    <w:p w14:paraId="598604A6" w14:textId="77777777" w:rsidR="00986353" w:rsidRDefault="00BB03BE">
      <w:pPr>
        <w:pStyle w:val="1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14:paraId="056D2F7F" w14:textId="7485A0AA" w:rsidR="00986353" w:rsidRDefault="00BB03BE">
      <w:pPr>
        <w:pStyle w:val="1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14:paraId="48C3D0C9" w14:textId="77777777" w:rsidR="00986353" w:rsidRDefault="00986353">
      <w:pPr>
        <w:spacing w:line="220" w:lineRule="atLeast"/>
        <w:ind w:right="420"/>
        <w:rPr>
          <w:rFonts w:ascii="宋体" w:eastAsia="宋体" w:hAnsi="宋体"/>
          <w:color w:val="000000"/>
          <w:sz w:val="21"/>
          <w:szCs w:val="21"/>
        </w:rPr>
      </w:pPr>
    </w:p>
    <w:p w14:paraId="1B2D8AF6" w14:textId="1FE0CB80" w:rsidR="00986353" w:rsidRDefault="00B36A71">
      <w:pPr>
        <w:spacing w:line="220" w:lineRule="atLeast"/>
        <w:jc w:val="right"/>
        <w:rPr>
          <w:rFonts w:ascii="宋体" w:eastAsia="宋体" w:hAnsi="宋体"/>
          <w:sz w:val="21"/>
          <w:szCs w:val="21"/>
        </w:rPr>
      </w:pPr>
      <w:r>
        <w:rPr>
          <w:rFonts w:ascii="宋体" w:eastAsia="宋体" w:hAnsi="宋体" w:hint="eastAsia"/>
          <w:sz w:val="21"/>
          <w:szCs w:val="21"/>
        </w:rPr>
        <w:t>无锡沅邦纺织科技有限公司</w:t>
      </w:r>
    </w:p>
    <w:p w14:paraId="3D38ADF9" w14:textId="23292B13" w:rsidR="00986353" w:rsidRDefault="00BB03BE">
      <w:pPr>
        <w:spacing w:line="220" w:lineRule="atLeast"/>
        <w:jc w:val="right"/>
        <w:rPr>
          <w:rFonts w:ascii="宋体" w:eastAsia="宋体" w:hAnsi="宋体"/>
          <w:sz w:val="21"/>
          <w:szCs w:val="21"/>
        </w:rPr>
      </w:pPr>
      <w:r>
        <w:rPr>
          <w:rFonts w:ascii="宋体" w:eastAsia="宋体" w:hAnsi="宋体" w:hint="eastAsia"/>
          <w:sz w:val="21"/>
          <w:szCs w:val="21"/>
        </w:rPr>
        <w:t>2021年</w:t>
      </w:r>
      <w:r w:rsidR="0065411F">
        <w:rPr>
          <w:rFonts w:ascii="宋体" w:eastAsia="宋体" w:hAnsi="宋体"/>
          <w:sz w:val="21"/>
          <w:szCs w:val="21"/>
        </w:rPr>
        <w:t>9</w:t>
      </w:r>
      <w:r>
        <w:rPr>
          <w:rFonts w:ascii="宋体" w:eastAsia="宋体" w:hAnsi="宋体" w:hint="eastAsia"/>
          <w:sz w:val="21"/>
          <w:szCs w:val="21"/>
        </w:rPr>
        <w:t>月</w:t>
      </w:r>
      <w:r w:rsidR="0065411F">
        <w:rPr>
          <w:rFonts w:ascii="宋体" w:eastAsia="宋体" w:hAnsi="宋体"/>
          <w:sz w:val="21"/>
          <w:szCs w:val="21"/>
        </w:rPr>
        <w:t>28</w:t>
      </w:r>
      <w:r>
        <w:rPr>
          <w:rFonts w:ascii="宋体" w:eastAsia="宋体" w:hAnsi="宋体" w:hint="eastAsia"/>
          <w:sz w:val="21"/>
          <w:szCs w:val="21"/>
        </w:rPr>
        <w:t>日</w:t>
      </w:r>
    </w:p>
    <w:sectPr w:rsidR="009863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DB1C" w14:textId="77777777" w:rsidR="004022DF" w:rsidRDefault="004022DF">
      <w:r>
        <w:separator/>
      </w:r>
    </w:p>
  </w:endnote>
  <w:endnote w:type="continuationSeparator" w:id="0">
    <w:p w14:paraId="529FDEAF" w14:textId="77777777" w:rsidR="004022DF" w:rsidRDefault="0040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TimesNewRomanPS-BoldMT">
    <w:altName w:val="Times New Roman"/>
    <w:charset w:val="00"/>
    <w:family w:val="roman"/>
    <w:pitch w:val="default"/>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4F2A" w14:textId="77777777" w:rsidR="004022DF" w:rsidRDefault="004022DF">
      <w:pPr>
        <w:spacing w:after="0"/>
      </w:pPr>
      <w:r>
        <w:separator/>
      </w:r>
    </w:p>
  </w:footnote>
  <w:footnote w:type="continuationSeparator" w:id="0">
    <w:p w14:paraId="7FB83671" w14:textId="77777777" w:rsidR="004022DF" w:rsidRDefault="004022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48623"/>
    <w:multiLevelType w:val="singleLevel"/>
    <w:tmpl w:val="89C48623"/>
    <w:lvl w:ilvl="0">
      <w:start w:val="1"/>
      <w:numFmt w:val="bullet"/>
      <w:pStyle w:val="5"/>
      <w:lvlText w:val=""/>
      <w:lvlJc w:val="left"/>
      <w:pPr>
        <w:tabs>
          <w:tab w:val="left" w:pos="2040"/>
        </w:tabs>
        <w:ind w:left="2040" w:hanging="360"/>
      </w:pPr>
      <w:rPr>
        <w:rFonts w:ascii="Wingdings" w:hAnsi="Wingdings" w:hint="default"/>
      </w:rPr>
    </w:lvl>
  </w:abstractNum>
  <w:abstractNum w:abstractNumId="1" w15:restartNumberingAfterBreak="0">
    <w:nsid w:val="00000008"/>
    <w:multiLevelType w:val="singleLevel"/>
    <w:tmpl w:val="00000008"/>
    <w:lvl w:ilvl="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5B3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022DF"/>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1824"/>
    <w:rsid w:val="00644E31"/>
    <w:rsid w:val="0065411F"/>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E3DA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86353"/>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36A71"/>
    <w:rsid w:val="00B402EC"/>
    <w:rsid w:val="00B41DBF"/>
    <w:rsid w:val="00B451C1"/>
    <w:rsid w:val="00B459E3"/>
    <w:rsid w:val="00B617A4"/>
    <w:rsid w:val="00B70F5E"/>
    <w:rsid w:val="00B77BE4"/>
    <w:rsid w:val="00B859B2"/>
    <w:rsid w:val="00B87FA3"/>
    <w:rsid w:val="00B92EB0"/>
    <w:rsid w:val="00B9508E"/>
    <w:rsid w:val="00BA0171"/>
    <w:rsid w:val="00BB03BE"/>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C2E69"/>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09748FE"/>
    <w:rsid w:val="17210B32"/>
    <w:rsid w:val="1A1C28AE"/>
    <w:rsid w:val="1CC55F6A"/>
    <w:rsid w:val="2B9F4547"/>
    <w:rsid w:val="31130420"/>
    <w:rsid w:val="348A3CE3"/>
    <w:rsid w:val="34C628DC"/>
    <w:rsid w:val="36F64F61"/>
    <w:rsid w:val="41BA12A1"/>
    <w:rsid w:val="43311790"/>
    <w:rsid w:val="4B4F22E6"/>
    <w:rsid w:val="4B6B6A2D"/>
    <w:rsid w:val="4BF74434"/>
    <w:rsid w:val="4C4E3740"/>
    <w:rsid w:val="4ED62E92"/>
    <w:rsid w:val="50DD244A"/>
    <w:rsid w:val="56126CBC"/>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E57F6"/>
  <w15:docId w15:val="{FFAF6744-216D-41DB-9178-308559B1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0"/>
    <w:uiPriority w:val="99"/>
    <w:semiHidden/>
    <w:unhideWhenUsed/>
    <w:qFormat/>
    <w:pPr>
      <w:ind w:firstLineChars="200" w:firstLine="420"/>
    </w:pPr>
  </w:style>
  <w:style w:type="paragraph" w:styleId="a3">
    <w:name w:val="Body Text Indent"/>
    <w:basedOn w:val="a"/>
    <w:next w:val="a"/>
    <w:link w:val="a5"/>
    <w:uiPriority w:val="99"/>
    <w:semiHidden/>
    <w:unhideWhenUsed/>
    <w:qFormat/>
    <w:pPr>
      <w:spacing w:after="120"/>
      <w:ind w:leftChars="200" w:left="420"/>
    </w:pPr>
  </w:style>
  <w:style w:type="paragraph" w:styleId="a4">
    <w:name w:val="Body Text First Indent"/>
    <w:basedOn w:val="a6"/>
    <w:next w:val="a"/>
    <w:uiPriority w:val="99"/>
    <w:unhideWhenUsed/>
    <w:qFormat/>
    <w:pPr>
      <w:ind w:firstLineChars="100" w:firstLine="420"/>
    </w:pPr>
  </w:style>
  <w:style w:type="paragraph" w:styleId="a6">
    <w:name w:val="Body Text"/>
    <w:basedOn w:val="a"/>
    <w:next w:val="5"/>
    <w:link w:val="a7"/>
    <w:uiPriority w:val="99"/>
    <w:qFormat/>
    <w:pPr>
      <w:widowControl w:val="0"/>
      <w:adjustRightInd/>
      <w:snapToGrid/>
      <w:spacing w:after="0"/>
      <w:jc w:val="both"/>
    </w:pPr>
    <w:rPr>
      <w:rFonts w:ascii="Calibri" w:eastAsia="宋体" w:hAnsi="Calibri" w:cs="Times New Roman"/>
      <w:kern w:val="2"/>
      <w:sz w:val="18"/>
      <w:szCs w:val="24"/>
    </w:rPr>
  </w:style>
  <w:style w:type="paragraph" w:styleId="5">
    <w:name w:val="List Bullet 5"/>
    <w:basedOn w:val="a"/>
    <w:uiPriority w:val="99"/>
    <w:semiHidden/>
    <w:unhideWhenUsed/>
    <w:qFormat/>
    <w:pPr>
      <w:numPr>
        <w:numId w:val="1"/>
      </w:numPr>
    </w:pPr>
  </w:style>
  <w:style w:type="paragraph" w:styleId="a8">
    <w:name w:val="annotation text"/>
    <w:basedOn w:val="a"/>
    <w:link w:val="1"/>
    <w:qFormat/>
    <w:pPr>
      <w:widowControl w:val="0"/>
      <w:adjustRightInd/>
      <w:snapToGrid/>
      <w:spacing w:after="0"/>
    </w:pPr>
    <w:rPr>
      <w:rFonts w:asciiTheme="minorHAnsi" w:hAnsiTheme="minorHAnsi"/>
      <w:kern w:val="2"/>
      <w:sz w:val="21"/>
      <w:szCs w:val="24"/>
    </w:rPr>
  </w:style>
  <w:style w:type="paragraph" w:styleId="a9">
    <w:name w:val="Plain Text"/>
    <w:basedOn w:val="a"/>
    <w:link w:val="aa"/>
    <w:qFormat/>
    <w:pPr>
      <w:adjustRightInd/>
      <w:snapToGrid/>
      <w:spacing w:after="0" w:line="360" w:lineRule="auto"/>
    </w:pPr>
    <w:rPr>
      <w:rFonts w:ascii="宋体" w:hAnsi="Courier New" w:cs="Courier New"/>
      <w:kern w:val="2"/>
      <w:sz w:val="21"/>
      <w:szCs w:val="21"/>
      <w:lang w:eastAsia="en-US" w:bidi="en-US"/>
    </w:rPr>
  </w:style>
  <w:style w:type="paragraph" w:styleId="ab">
    <w:name w:val="Balloon Text"/>
    <w:basedOn w:val="a"/>
    <w:link w:val="ac"/>
    <w:uiPriority w:val="99"/>
    <w:semiHidden/>
    <w:unhideWhenUsed/>
    <w:qFormat/>
    <w:pPr>
      <w:spacing w:after="0"/>
    </w:pPr>
    <w:rPr>
      <w:sz w:val="18"/>
      <w:szCs w:val="18"/>
    </w:rPr>
  </w:style>
  <w:style w:type="paragraph" w:styleId="ad">
    <w:name w:val="footer"/>
    <w:basedOn w:val="a"/>
    <w:link w:val="ae"/>
    <w:uiPriority w:val="99"/>
    <w:unhideWhenUsed/>
    <w:qFormat/>
    <w:pPr>
      <w:tabs>
        <w:tab w:val="center" w:pos="4153"/>
        <w:tab w:val="right" w:pos="8306"/>
      </w:tabs>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jc w:val="center"/>
    </w:pPr>
    <w:rPr>
      <w:sz w:val="18"/>
      <w:szCs w:val="18"/>
    </w:rPr>
  </w:style>
  <w:style w:type="paragraph" w:styleId="af1">
    <w:name w:val="Normal (Web)"/>
    <w:basedOn w:val="a"/>
    <w:uiPriority w:val="99"/>
    <w:semiHidden/>
    <w:unhideWhenUsed/>
    <w:qFormat/>
    <w:rPr>
      <w:sz w:val="24"/>
    </w:rPr>
  </w:style>
  <w:style w:type="paragraph" w:styleId="10">
    <w:name w:val="index 1"/>
    <w:basedOn w:val="a"/>
    <w:next w:val="a"/>
    <w:semiHidden/>
    <w:qFormat/>
    <w:pPr>
      <w:widowControl w:val="0"/>
      <w:spacing w:after="0"/>
      <w:jc w:val="center"/>
    </w:pPr>
    <w:rPr>
      <w:rFonts w:ascii="宋体" w:eastAsia="宋体" w:hAnsi="宋体" w:cs="Times New Roman"/>
      <w:kern w:val="2"/>
      <w:sz w:val="21"/>
      <w:szCs w:val="24"/>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qFormat/>
    <w:rPr>
      <w:sz w:val="21"/>
      <w:szCs w:val="21"/>
    </w:rPr>
  </w:style>
  <w:style w:type="character" w:customStyle="1" w:styleId="af0">
    <w:name w:val="页眉 字符"/>
    <w:basedOn w:val="a0"/>
    <w:link w:val="af"/>
    <w:uiPriority w:val="99"/>
    <w:qFormat/>
    <w:rPr>
      <w:rFonts w:ascii="Tahoma" w:hAnsi="Tahoma"/>
      <w:sz w:val="18"/>
      <w:szCs w:val="18"/>
    </w:rPr>
  </w:style>
  <w:style w:type="character" w:customStyle="1" w:styleId="ae">
    <w:name w:val="页脚 字符"/>
    <w:basedOn w:val="a0"/>
    <w:link w:val="ad"/>
    <w:uiPriority w:val="99"/>
    <w:qFormat/>
    <w:rPr>
      <w:rFonts w:ascii="Tahoma" w:hAnsi="Tahoma"/>
      <w:sz w:val="18"/>
      <w:szCs w:val="18"/>
    </w:rPr>
  </w:style>
  <w:style w:type="paragraph" w:customStyle="1" w:styleId="11">
    <w:name w:val="普通(网站)1"/>
    <w:basedOn w:val="a"/>
    <w:qFormat/>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4">
    <w:name w:val="小四表文左齐"/>
    <w:basedOn w:val="a"/>
    <w:qFormat/>
    <w:pPr>
      <w:widowControl w:val="0"/>
      <w:adjustRightInd/>
      <w:snapToGrid/>
      <w:spacing w:after="0"/>
      <w:jc w:val="both"/>
    </w:pPr>
    <w:rPr>
      <w:rFonts w:ascii="宋体" w:eastAsia="宋体" w:hAnsi="宋体" w:cs="Times New Roman"/>
      <w:kern w:val="2"/>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31">
    <w:name w:val="fontstyle31"/>
    <w:basedOn w:val="a0"/>
    <w:qFormat/>
    <w:rPr>
      <w:rFonts w:ascii="TimesNewRomanPS-BoldMT" w:hAnsi="TimesNewRomanPS-BoldMT" w:hint="default"/>
      <w:b/>
      <w:bCs/>
      <w:color w:val="000000"/>
      <w:sz w:val="24"/>
      <w:szCs w:val="24"/>
    </w:rPr>
  </w:style>
  <w:style w:type="character" w:customStyle="1" w:styleId="ac">
    <w:name w:val="批注框文本 字符"/>
    <w:basedOn w:val="a0"/>
    <w:link w:val="ab"/>
    <w:uiPriority w:val="99"/>
    <w:semiHidden/>
    <w:qFormat/>
    <w:rPr>
      <w:rFonts w:ascii="Tahoma" w:hAnsi="Tahoma"/>
      <w:sz w:val="18"/>
      <w:szCs w:val="18"/>
    </w:rPr>
  </w:style>
  <w:style w:type="character" w:customStyle="1" w:styleId="a7">
    <w:name w:val="正文文本 字符"/>
    <w:basedOn w:val="a0"/>
    <w:link w:val="a6"/>
    <w:uiPriority w:val="99"/>
    <w:qFormat/>
    <w:rPr>
      <w:rFonts w:ascii="Calibri" w:eastAsia="宋体" w:hAnsi="Calibri" w:cs="Times New Roman"/>
      <w:kern w:val="2"/>
      <w:sz w:val="18"/>
      <w:szCs w:val="24"/>
    </w:rPr>
  </w:style>
  <w:style w:type="table" w:customStyle="1" w:styleId="TableNormal">
    <w:name w:val="Table Normal"/>
    <w:uiPriority w:val="2"/>
    <w:semiHidden/>
    <w:unhideWhenUsed/>
    <w:qFormat/>
    <w:pPr>
      <w:widowControl w:val="0"/>
      <w:autoSpaceDE w:val="0"/>
      <w:autoSpaceDN w:val="0"/>
    </w:pPr>
    <w:rPr>
      <w:rFonts w:eastAsiaTheme="minorEastAsia"/>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adjustRightInd/>
      <w:snapToGrid/>
      <w:spacing w:after="0"/>
    </w:pPr>
    <w:rPr>
      <w:rFonts w:ascii="宋体" w:eastAsia="宋体" w:hAnsi="宋体" w:cs="宋体"/>
      <w:lang w:eastAsia="en-US"/>
    </w:rPr>
  </w:style>
  <w:style w:type="paragraph" w:customStyle="1" w:styleId="12">
    <w:name w:val="修订1"/>
    <w:hidden/>
    <w:uiPriority w:val="99"/>
    <w:semiHidden/>
    <w:qFormat/>
    <w:rPr>
      <w:rFonts w:ascii="Tahoma" w:eastAsia="微软雅黑" w:hAnsi="Tahoma" w:cstheme="minorBidi"/>
      <w:sz w:val="22"/>
      <w:szCs w:val="22"/>
    </w:rPr>
  </w:style>
  <w:style w:type="character" w:customStyle="1" w:styleId="13">
    <w:name w:val="页码1"/>
    <w:basedOn w:val="a0"/>
    <w:qFormat/>
  </w:style>
  <w:style w:type="paragraph" w:customStyle="1" w:styleId="xl22">
    <w:name w:val="xl22"/>
    <w:basedOn w:val="a"/>
    <w:uiPriority w:val="99"/>
    <w:qFormat/>
    <w:pPr>
      <w:pBdr>
        <w:bottom w:val="single" w:sz="4" w:space="0" w:color="auto"/>
        <w:right w:val="single" w:sz="4" w:space="0" w:color="auto"/>
      </w:pBdr>
      <w:adjustRightInd/>
      <w:snapToGrid/>
      <w:spacing w:before="100" w:beforeAutospacing="1" w:after="100" w:afterAutospacing="1"/>
      <w:jc w:val="center"/>
    </w:pPr>
    <w:rPr>
      <w:rFonts w:ascii="Arial Unicode MS" w:eastAsia="Arial Unicode MS" w:hAnsi="Arial Unicode MS" w:cs="Arial Unicode MS"/>
      <w:sz w:val="21"/>
      <w:szCs w:val="21"/>
    </w:rPr>
  </w:style>
  <w:style w:type="paragraph" w:customStyle="1" w:styleId="xl24">
    <w:name w:val="xl24"/>
    <w:basedOn w:val="a"/>
    <w:qFormat/>
    <w:pPr>
      <w:pBdr>
        <w:bottom w:val="single" w:sz="4" w:space="0" w:color="auto"/>
        <w:right w:val="single" w:sz="4" w:space="0" w:color="auto"/>
      </w:pBdr>
      <w:adjustRightInd/>
      <w:snapToGrid/>
      <w:spacing w:before="100" w:beforeAutospacing="1" w:after="100" w:afterAutospacing="1"/>
      <w:jc w:val="center"/>
    </w:pPr>
    <w:rPr>
      <w:rFonts w:ascii="Times New Roman" w:eastAsia="Arial Unicode MS" w:hAnsi="Times New Roman" w:cs="Times New Roman"/>
      <w:sz w:val="24"/>
      <w:szCs w:val="24"/>
    </w:rPr>
  </w:style>
  <w:style w:type="character" w:customStyle="1" w:styleId="Char">
    <w:name w:val="批注文字 Char"/>
    <w:qFormat/>
    <w:rPr>
      <w:kern w:val="2"/>
      <w:sz w:val="21"/>
      <w:szCs w:val="24"/>
    </w:rPr>
  </w:style>
  <w:style w:type="character" w:customStyle="1" w:styleId="1">
    <w:name w:val="批注文字 字符1"/>
    <w:basedOn w:val="a0"/>
    <w:link w:val="a8"/>
    <w:uiPriority w:val="99"/>
    <w:semiHidden/>
    <w:qFormat/>
    <w:rPr>
      <w:rFonts w:ascii="Tahoma" w:hAnsi="Tahoma"/>
    </w:rPr>
  </w:style>
  <w:style w:type="character" w:customStyle="1" w:styleId="21">
    <w:name w:val="页码2"/>
    <w:basedOn w:val="a0"/>
    <w:qFormat/>
  </w:style>
  <w:style w:type="character" w:customStyle="1" w:styleId="by12h1">
    <w:name w:val="by12h1"/>
    <w:basedOn w:val="a0"/>
    <w:uiPriority w:val="99"/>
    <w:qFormat/>
    <w:rPr>
      <w:rFonts w:ascii="宋体" w:eastAsia="宋体" w:hAnsi="宋体" w:cs="Times New Roman"/>
      <w:kern w:val="0"/>
      <w:sz w:val="18"/>
      <w:szCs w:val="18"/>
    </w:rPr>
  </w:style>
  <w:style w:type="character" w:customStyle="1" w:styleId="a5">
    <w:name w:val="正文文本缩进 字符"/>
    <w:basedOn w:val="a0"/>
    <w:link w:val="a3"/>
    <w:uiPriority w:val="99"/>
    <w:semiHidden/>
    <w:qFormat/>
    <w:rPr>
      <w:rFonts w:ascii="Tahoma" w:hAnsi="Tahoma"/>
    </w:rPr>
  </w:style>
  <w:style w:type="character" w:customStyle="1" w:styleId="20">
    <w:name w:val="正文文本首行缩进 2 字符"/>
    <w:basedOn w:val="a5"/>
    <w:link w:val="2"/>
    <w:uiPriority w:val="99"/>
    <w:semiHidden/>
    <w:qFormat/>
    <w:rPr>
      <w:rFonts w:ascii="Tahoma" w:hAnsi="Tahoma"/>
    </w:rPr>
  </w:style>
  <w:style w:type="character" w:customStyle="1" w:styleId="af5">
    <w:name w:val="批注文字 字符"/>
    <w:qFormat/>
    <w:rPr>
      <w:kern w:val="2"/>
      <w:sz w:val="21"/>
      <w:szCs w:val="24"/>
    </w:rPr>
  </w:style>
  <w:style w:type="character" w:customStyle="1" w:styleId="Char1">
    <w:name w:val="纯文本 Char1"/>
    <w:qFormat/>
    <w:rPr>
      <w:rFonts w:ascii="宋体" w:hAnsi="Courier New" w:cs="Courier New"/>
      <w:kern w:val="2"/>
      <w:sz w:val="21"/>
      <w:szCs w:val="21"/>
      <w:lang w:eastAsia="en-US" w:bidi="en-US"/>
    </w:rPr>
  </w:style>
  <w:style w:type="character" w:customStyle="1" w:styleId="aa">
    <w:name w:val="纯文本 字符"/>
    <w:basedOn w:val="a0"/>
    <w:link w:val="a9"/>
    <w:uiPriority w:val="99"/>
    <w:semiHidden/>
    <w:qFormat/>
    <w:rPr>
      <w:rFonts w:ascii="宋体" w:eastAsia="宋体" w:hAnsi="Courier New" w:cs="Courier New"/>
      <w:sz w:val="21"/>
      <w:szCs w:val="21"/>
    </w:rPr>
  </w:style>
  <w:style w:type="character" w:customStyle="1" w:styleId="font01">
    <w:name w:val="font01"/>
    <w:qFormat/>
    <w:rPr>
      <w:rFonts w:ascii="Times New Roman" w:hAnsi="Times New Roman" w:cs="Times New Roman" w:hint="default"/>
      <w:color w:val="000000"/>
      <w:sz w:val="21"/>
      <w:szCs w:val="21"/>
      <w:u w:val="none"/>
    </w:rPr>
  </w:style>
  <w:style w:type="paragraph" w:customStyle="1" w:styleId="af6">
    <w:name w:val="表格文字"/>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93F52F-89BF-40B9-AA8D-2F932E8476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Hail Hydra</cp:lastModifiedBy>
  <cp:revision>6</cp:revision>
  <cp:lastPrinted>2021-06-30T02:55:00Z</cp:lastPrinted>
  <dcterms:created xsi:type="dcterms:W3CDTF">2008-09-11T17:20:00Z</dcterms:created>
  <dcterms:modified xsi:type="dcterms:W3CDTF">2021-10-09T05:35:00Z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08F5DEF13E454F8B918A408BDE97D4DB</vt:lpwstr>
  </property>
</Properties>
</file>