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beforeAutospacing="0" w:after="0" w:afterAutospacing="0" w:line="276" w:lineRule="auto"/>
        <w:ind w:firstLine="602" w:firstLineChars="200"/>
        <w:jc w:val="center"/>
        <w:outlineLvl w:val="0"/>
        <w:rPr>
          <w:rFonts w:hint="eastAsia"/>
          <w:b/>
          <w:sz w:val="30"/>
          <w:szCs w:val="30"/>
          <w:lang w:eastAsia="zh-CN"/>
        </w:rPr>
      </w:pPr>
      <w:r>
        <w:rPr>
          <w:rFonts w:hint="eastAsia"/>
          <w:b/>
          <w:sz w:val="30"/>
          <w:szCs w:val="30"/>
          <w:lang w:eastAsia="zh-CN"/>
        </w:rPr>
        <w:t>无锡市玉祁五金锻压厂</w:t>
      </w:r>
    </w:p>
    <w:p>
      <w:pPr>
        <w:pStyle w:val="15"/>
        <w:spacing w:before="0" w:beforeAutospacing="0" w:after="0" w:afterAutospacing="0" w:line="276" w:lineRule="auto"/>
        <w:ind w:firstLine="602" w:firstLineChars="200"/>
        <w:jc w:val="center"/>
        <w:outlineLvl w:val="0"/>
        <w:rPr>
          <w:b/>
          <w:sz w:val="30"/>
          <w:szCs w:val="30"/>
        </w:rPr>
      </w:pPr>
      <w:r>
        <w:rPr>
          <w:rFonts w:hint="eastAsia"/>
          <w:b/>
          <w:sz w:val="30"/>
          <w:szCs w:val="30"/>
          <w:lang w:eastAsia="zh-CN"/>
        </w:rPr>
        <w:t>搬迁项目</w:t>
      </w:r>
      <w:r>
        <w:rPr>
          <w:b/>
          <w:sz w:val="30"/>
          <w:szCs w:val="30"/>
        </w:rPr>
        <w:t>“</w:t>
      </w:r>
      <w:r>
        <w:rPr>
          <w:rFonts w:hint="eastAsia"/>
          <w:b/>
          <w:sz w:val="30"/>
          <w:szCs w:val="30"/>
        </w:rPr>
        <w:t>其他事项</w:t>
      </w:r>
      <w:r>
        <w:rPr>
          <w:b/>
          <w:sz w:val="30"/>
          <w:szCs w:val="30"/>
        </w:rPr>
        <w:t>”</w:t>
      </w:r>
      <w:r>
        <w:rPr>
          <w:rFonts w:hint="eastAsia"/>
          <w:b/>
          <w:sz w:val="30"/>
          <w:szCs w:val="30"/>
        </w:rPr>
        <w:t>说明</w:t>
      </w:r>
    </w:p>
    <w:p>
      <w:pPr>
        <w:pStyle w:val="15"/>
        <w:spacing w:before="0" w:beforeAutospacing="0" w:after="0" w:afterAutospacing="0" w:line="360" w:lineRule="exact"/>
        <w:jc w:val="both"/>
        <w:outlineLvl w:val="0"/>
        <w:rPr>
          <w:color w:val="000000"/>
          <w:sz w:val="21"/>
          <w:szCs w:val="21"/>
        </w:rPr>
      </w:pPr>
      <w:r>
        <w:rPr>
          <w:rFonts w:hint="eastAsia"/>
          <w:color w:val="000000"/>
          <w:sz w:val="21"/>
          <w:szCs w:val="21"/>
        </w:rPr>
        <w:t>根据《建设项目竣工环境保护验收暂行办法》，“其他需要说明的事项”中应如实记载的内容包括环境保护设施设计、施工和验收过程简况，环境影响报告书（表）及其审批部门审批决定中提出的，除环境保护设施外的其他环境保护措施的落实情况，以及整改工作情况等，现将本项目需要说明的具体内容和要求列举如下：</w:t>
      </w:r>
    </w:p>
    <w:p>
      <w:pPr>
        <w:pStyle w:val="7"/>
        <w:rPr>
          <w:rFonts w:ascii="宋体" w:hAnsi="宋体"/>
          <w:b/>
          <w:bCs w:val="0"/>
          <w:color w:val="000000"/>
          <w:szCs w:val="21"/>
        </w:rPr>
      </w:pPr>
      <w:r>
        <w:rPr>
          <w:rFonts w:hint="eastAsia" w:ascii="宋体" w:hAnsi="宋体"/>
          <w:b/>
          <w:bCs w:val="0"/>
          <w:color w:val="000000"/>
          <w:szCs w:val="21"/>
        </w:rPr>
        <w:t>1环境保护设施设计、施工和验收过程简况</w:t>
      </w:r>
    </w:p>
    <w:p>
      <w:pPr>
        <w:pStyle w:val="7"/>
        <w:rPr>
          <w:rFonts w:ascii="宋体" w:hAnsi="宋体"/>
          <w:b/>
          <w:bCs w:val="0"/>
          <w:color w:val="000000"/>
          <w:szCs w:val="21"/>
        </w:rPr>
      </w:pPr>
      <w:r>
        <w:rPr>
          <w:rFonts w:hint="eastAsia" w:ascii="宋体" w:hAnsi="宋体"/>
          <w:b/>
          <w:bCs w:val="0"/>
          <w:color w:val="000000"/>
          <w:szCs w:val="21"/>
        </w:rPr>
        <w:t>1.1设计简况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lang w:eastAsia="zh-CN"/>
        </w:rPr>
        <w:t>无锡市玉祁五金锻压厂搬迁项目</w:t>
      </w:r>
      <w:r>
        <w:rPr>
          <w:rFonts w:hint="eastAsia"/>
          <w:color w:val="000000"/>
          <w:sz w:val="21"/>
          <w:szCs w:val="21"/>
        </w:rPr>
        <w:t>主要产品为</w:t>
      </w:r>
      <w:r>
        <w:rPr>
          <w:rFonts w:hint="eastAsia"/>
          <w:color w:val="000000"/>
          <w:sz w:val="21"/>
          <w:szCs w:val="21"/>
          <w:lang w:val="en-US" w:eastAsia="zh-CN"/>
        </w:rPr>
        <w:t>不锈钢法兰毛坯</w:t>
      </w:r>
      <w:r>
        <w:rPr>
          <w:rFonts w:hint="eastAsia"/>
          <w:color w:val="000000"/>
          <w:sz w:val="21"/>
          <w:szCs w:val="21"/>
        </w:rPr>
        <w:t>。本项目</w:t>
      </w:r>
      <w:r>
        <w:rPr>
          <w:rFonts w:hint="eastAsia"/>
          <w:color w:val="000000"/>
          <w:sz w:val="21"/>
          <w:szCs w:val="21"/>
          <w:lang w:val="en-US" w:eastAsia="zh-CN"/>
        </w:rPr>
        <w:t>本项目加热工序采用天然气，燃烧废气经收集处理后通过15米高排气筒排放，</w:t>
      </w:r>
      <w:r>
        <w:rPr>
          <w:rFonts w:hint="eastAsia"/>
          <w:color w:val="000000"/>
          <w:sz w:val="21"/>
          <w:szCs w:val="21"/>
        </w:rPr>
        <w:t>主要污染物为</w:t>
      </w:r>
      <w:r>
        <w:rPr>
          <w:rFonts w:hint="eastAsia"/>
          <w:color w:val="000000"/>
          <w:sz w:val="21"/>
          <w:szCs w:val="21"/>
          <w:lang w:val="en-US" w:eastAsia="zh-CN"/>
        </w:rPr>
        <w:t>颗粒物、二氧化硫、氮氧化物。</w:t>
      </w:r>
      <w:r>
        <w:rPr>
          <w:rFonts w:hint="eastAsia"/>
          <w:color w:val="000000"/>
          <w:sz w:val="21"/>
          <w:szCs w:val="21"/>
        </w:rPr>
        <w:t>生活污水以及噪声的环境保护设施的设计符合环境保护设计规范的要求，暂未为项目主体编制环境保护篇章，落实了防治污染和生态破环的措施以及环境保护设施投资</w:t>
      </w:r>
      <w:r>
        <w:rPr>
          <w:rFonts w:hint="eastAsia"/>
          <w:color w:val="000000"/>
          <w:sz w:val="21"/>
          <w:szCs w:val="21"/>
          <w:lang w:val="en-US" w:eastAsia="zh-CN"/>
        </w:rPr>
        <w:t>10</w:t>
      </w:r>
      <w:r>
        <w:rPr>
          <w:rFonts w:hint="eastAsia"/>
          <w:color w:val="000000"/>
          <w:sz w:val="21"/>
          <w:szCs w:val="21"/>
        </w:rPr>
        <w:t>万元。</w:t>
      </w:r>
    </w:p>
    <w:p>
      <w:pPr>
        <w:pStyle w:val="7"/>
        <w:rPr>
          <w:rFonts w:ascii="宋体" w:hAnsi="宋体"/>
          <w:b/>
          <w:bCs w:val="0"/>
          <w:color w:val="000000"/>
          <w:szCs w:val="21"/>
        </w:rPr>
      </w:pPr>
      <w:r>
        <w:rPr>
          <w:rFonts w:hint="eastAsia" w:ascii="宋体" w:hAnsi="宋体"/>
          <w:b/>
          <w:bCs w:val="0"/>
          <w:color w:val="000000"/>
          <w:szCs w:val="21"/>
        </w:rPr>
        <w:t>1.2施工简况</w:t>
      </w:r>
    </w:p>
    <w:p>
      <w:pPr>
        <w:pStyle w:val="7"/>
        <w:ind w:firstLine="420" w:firstLineChars="200"/>
        <w:rPr>
          <w:color w:val="000000"/>
          <w:szCs w:val="21"/>
        </w:rPr>
      </w:pPr>
      <w:r>
        <w:rPr>
          <w:rFonts w:hint="eastAsia"/>
          <w:color w:val="000000"/>
          <w:szCs w:val="21"/>
          <w:lang w:eastAsia="zh-CN"/>
        </w:rPr>
        <w:t>无锡市玉祁五金锻压厂</w:t>
      </w:r>
      <w:r>
        <w:rPr>
          <w:rFonts w:hint="eastAsia"/>
          <w:color w:val="000000"/>
          <w:szCs w:val="21"/>
          <w:lang w:val="en-US" w:eastAsia="zh-CN"/>
        </w:rPr>
        <w:t>租赁闲置</w:t>
      </w:r>
      <w:r>
        <w:rPr>
          <w:rFonts w:hint="eastAsia"/>
          <w:color w:val="000000"/>
          <w:szCs w:val="21"/>
        </w:rPr>
        <w:t>厂房从事</w:t>
      </w:r>
      <w:r>
        <w:rPr>
          <w:rFonts w:hint="eastAsia"/>
          <w:color w:val="000000"/>
          <w:sz w:val="21"/>
          <w:szCs w:val="21"/>
          <w:lang w:val="en-US" w:eastAsia="zh-CN"/>
        </w:rPr>
        <w:t>不锈钢法兰毛坯</w:t>
      </w:r>
      <w:r>
        <w:rPr>
          <w:rFonts w:hint="eastAsia"/>
          <w:color w:val="000000"/>
          <w:szCs w:val="21"/>
        </w:rPr>
        <w:t>的生产，建设期间仅为设备安装，无土建内容。公司已确保了环境保护设施的建设进度以及资金正真落实到位，同时严格对照环评及其审批意见提出的环境保护措施进行逐条建设，并对整个建设过程定期检查监督。</w:t>
      </w:r>
    </w:p>
    <w:p>
      <w:pPr>
        <w:pStyle w:val="7"/>
        <w:rPr>
          <w:rFonts w:ascii="宋体" w:hAnsi="宋体"/>
          <w:b/>
          <w:bCs w:val="0"/>
          <w:color w:val="000000"/>
          <w:szCs w:val="21"/>
        </w:rPr>
      </w:pPr>
      <w:r>
        <w:rPr>
          <w:rFonts w:hint="eastAsia" w:ascii="宋体" w:hAnsi="宋体"/>
          <w:b/>
          <w:bCs w:val="0"/>
          <w:color w:val="000000"/>
          <w:szCs w:val="21"/>
        </w:rPr>
        <w:t>1.3验收过程简况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本项目自主验收委托</w:t>
      </w:r>
      <w:r>
        <w:rPr>
          <w:rFonts w:hint="eastAsia"/>
          <w:color w:val="000000"/>
          <w:sz w:val="21"/>
          <w:szCs w:val="21"/>
          <w:lang w:eastAsia="zh-CN"/>
        </w:rPr>
        <w:t>江苏环科检测有限公司</w:t>
      </w:r>
      <w:r>
        <w:rPr>
          <w:rFonts w:hint="eastAsia"/>
          <w:color w:val="000000"/>
          <w:sz w:val="21"/>
          <w:szCs w:val="21"/>
        </w:rPr>
        <w:t>进行验收监测，并编制验收监测报告。</w:t>
      </w:r>
      <w:r>
        <w:rPr>
          <w:rFonts w:hint="eastAsia"/>
          <w:color w:val="000000"/>
          <w:sz w:val="21"/>
          <w:szCs w:val="21"/>
          <w:lang w:eastAsia="zh-CN"/>
        </w:rPr>
        <w:t>江苏环科检测有限公司</w:t>
      </w:r>
      <w:r>
        <w:rPr>
          <w:rFonts w:hint="eastAsia"/>
          <w:color w:val="000000"/>
          <w:sz w:val="21"/>
          <w:szCs w:val="21"/>
        </w:rPr>
        <w:t>于20</w:t>
      </w:r>
      <w:r>
        <w:rPr>
          <w:rFonts w:hint="eastAsia"/>
          <w:color w:val="000000"/>
          <w:sz w:val="21"/>
          <w:szCs w:val="21"/>
          <w:lang w:val="en-US" w:eastAsia="zh-CN"/>
        </w:rPr>
        <w:t>22</w:t>
      </w:r>
      <w:r>
        <w:rPr>
          <w:rFonts w:hint="eastAsia"/>
          <w:color w:val="000000"/>
          <w:sz w:val="21"/>
          <w:szCs w:val="21"/>
        </w:rPr>
        <w:t>年</w:t>
      </w:r>
      <w:r>
        <w:rPr>
          <w:rFonts w:hint="eastAsia"/>
          <w:color w:val="000000"/>
          <w:sz w:val="21"/>
          <w:szCs w:val="21"/>
          <w:lang w:val="en-US" w:eastAsia="zh-CN"/>
        </w:rPr>
        <w:t>5</w:t>
      </w:r>
      <w:r>
        <w:rPr>
          <w:rFonts w:hint="eastAsia"/>
          <w:color w:val="000000"/>
          <w:sz w:val="21"/>
          <w:szCs w:val="21"/>
        </w:rPr>
        <w:t>月出具验收监测报告，同时根据我公司自行准备的验收所需资料，于20</w:t>
      </w:r>
      <w:r>
        <w:rPr>
          <w:rFonts w:hint="eastAsia"/>
          <w:color w:val="000000"/>
          <w:sz w:val="21"/>
          <w:szCs w:val="21"/>
          <w:lang w:val="en-US" w:eastAsia="zh-CN"/>
        </w:rPr>
        <w:t>22</w:t>
      </w:r>
      <w:r>
        <w:rPr>
          <w:rFonts w:hint="eastAsia"/>
          <w:color w:val="000000"/>
          <w:sz w:val="21"/>
          <w:szCs w:val="21"/>
        </w:rPr>
        <w:t>年</w:t>
      </w:r>
      <w:r>
        <w:rPr>
          <w:rFonts w:hint="eastAsia"/>
          <w:color w:val="000000"/>
          <w:sz w:val="21"/>
          <w:szCs w:val="21"/>
          <w:lang w:val="en-US" w:eastAsia="zh-CN"/>
        </w:rPr>
        <w:t>5</w:t>
      </w:r>
      <w:r>
        <w:rPr>
          <w:rFonts w:hint="eastAsia"/>
          <w:color w:val="000000"/>
          <w:sz w:val="21"/>
          <w:szCs w:val="21"/>
        </w:rPr>
        <w:t>月</w:t>
      </w:r>
      <w:r>
        <w:rPr>
          <w:rFonts w:hint="eastAsia"/>
          <w:color w:val="000000"/>
          <w:sz w:val="21"/>
          <w:szCs w:val="21"/>
          <w:lang w:val="en-US" w:eastAsia="zh-CN"/>
        </w:rPr>
        <w:t>18</w:t>
      </w:r>
      <w:r>
        <w:rPr>
          <w:rFonts w:hint="eastAsia"/>
          <w:color w:val="000000"/>
          <w:sz w:val="21"/>
          <w:szCs w:val="21"/>
        </w:rPr>
        <w:t>日提出本项目的验收意见和结论。本项目在实施过程中已落实了环境影响评价文件及其批复要求，达到《建设项目竣工环境保护验收暂行办法》规定要求，本项目通过环境保护竣工验收。</w:t>
      </w:r>
    </w:p>
    <w:p>
      <w:pPr>
        <w:pStyle w:val="7"/>
        <w:rPr>
          <w:rFonts w:ascii="宋体" w:hAnsi="宋体"/>
          <w:b/>
          <w:bCs w:val="0"/>
          <w:color w:val="000000"/>
          <w:szCs w:val="21"/>
        </w:rPr>
      </w:pPr>
      <w:r>
        <w:rPr>
          <w:rFonts w:hint="eastAsia" w:ascii="宋体" w:hAnsi="宋体"/>
          <w:b/>
          <w:bCs w:val="0"/>
          <w:color w:val="000000"/>
          <w:szCs w:val="21"/>
        </w:rPr>
        <w:t>1.4公众反馈意见及处理情况</w:t>
      </w:r>
    </w:p>
    <w:p>
      <w:pPr>
        <w:pStyle w:val="7"/>
        <w:ind w:firstLine="420" w:firstLineChars="200"/>
        <w:rPr>
          <w:color w:val="000000"/>
          <w:szCs w:val="21"/>
        </w:rPr>
      </w:pPr>
      <w:r>
        <w:rPr>
          <w:rFonts w:hint="eastAsia"/>
          <w:color w:val="000000"/>
          <w:szCs w:val="21"/>
        </w:rPr>
        <w:t>建设项目设计、施工和验收期间严格对照环保法律法规，严格对本公司和施工方进行管理，因此并无收到有关投诉和公众意见。</w:t>
      </w:r>
    </w:p>
    <w:p>
      <w:pPr>
        <w:pStyle w:val="7"/>
        <w:rPr>
          <w:rFonts w:ascii="宋体" w:hAnsi="宋体"/>
          <w:b/>
          <w:bCs w:val="0"/>
          <w:color w:val="000000"/>
          <w:szCs w:val="21"/>
        </w:rPr>
      </w:pPr>
      <w:r>
        <w:rPr>
          <w:rFonts w:hint="eastAsia" w:ascii="宋体" w:hAnsi="宋体"/>
          <w:b/>
          <w:bCs w:val="0"/>
          <w:color w:val="000000"/>
          <w:szCs w:val="21"/>
        </w:rPr>
        <w:t>2其他环境保护措施的落实情况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环境影响报告书（表）及其审批部门审批决定中提出的，除环境保护设施外的其他环境保护措施，主要包括制度措施和配套措施等，现将需要说明的措施内容和要求梳理如下：</w:t>
      </w:r>
    </w:p>
    <w:p>
      <w:pPr>
        <w:pStyle w:val="7"/>
        <w:rPr>
          <w:rFonts w:ascii="宋体" w:hAnsi="宋体"/>
          <w:b/>
          <w:bCs w:val="0"/>
          <w:color w:val="000000"/>
          <w:szCs w:val="21"/>
        </w:rPr>
      </w:pPr>
      <w:r>
        <w:rPr>
          <w:rFonts w:hint="eastAsia" w:ascii="宋体" w:hAnsi="宋体"/>
          <w:b/>
          <w:bCs w:val="0"/>
          <w:color w:val="000000"/>
          <w:szCs w:val="21"/>
        </w:rPr>
        <w:t>2.1制度措施落实情况</w:t>
      </w:r>
    </w:p>
    <w:p>
      <w:pPr>
        <w:pStyle w:val="7"/>
        <w:rPr>
          <w:rFonts w:ascii="宋体" w:hAnsi="宋体"/>
          <w:color w:val="000000"/>
          <w:szCs w:val="21"/>
        </w:rPr>
      </w:pPr>
      <w:r>
        <w:rPr>
          <w:rFonts w:hint="eastAsia" w:ascii="宋体" w:hAnsi="宋体"/>
          <w:color w:val="000000"/>
          <w:szCs w:val="21"/>
        </w:rPr>
        <w:t xml:space="preserve">  （1）环保组织机构及规章制度</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公司暂未规划环保组织机构，已安排专人负责公司各环保事项。</w:t>
      </w:r>
    </w:p>
    <w:p>
      <w:pPr>
        <w:pStyle w:val="7"/>
        <w:rPr>
          <w:color w:val="000000"/>
          <w:szCs w:val="21"/>
        </w:rPr>
      </w:pPr>
      <w:r>
        <w:rPr>
          <w:rFonts w:hint="eastAsia" w:ascii="宋体" w:hAnsi="宋体"/>
          <w:color w:val="000000"/>
          <w:szCs w:val="21"/>
        </w:rPr>
        <w:t xml:space="preserve"> </w:t>
      </w:r>
      <w:r>
        <w:rPr>
          <w:rFonts w:hint="eastAsia"/>
          <w:color w:val="000000"/>
          <w:szCs w:val="21"/>
        </w:rPr>
        <w:t xml:space="preserve">  </w:t>
      </w:r>
      <w:r>
        <w:rPr>
          <w:rFonts w:hint="eastAsia" w:ascii="宋体" w:hAnsi="宋体"/>
          <w:color w:val="000000"/>
          <w:szCs w:val="21"/>
        </w:rPr>
        <w:t>（2）环境监测计划</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公司按照环评设计及审批意见要求，委托有资质单位对项目投入运行后产生的废气、生活污水及噪声进行定期检测。</w:t>
      </w:r>
    </w:p>
    <w:p>
      <w:pPr>
        <w:pStyle w:val="7"/>
        <w:rPr>
          <w:rFonts w:ascii="宋体" w:hAnsi="宋体"/>
          <w:b/>
          <w:bCs w:val="0"/>
          <w:color w:val="000000"/>
          <w:szCs w:val="21"/>
        </w:rPr>
      </w:pPr>
      <w:r>
        <w:rPr>
          <w:rFonts w:hint="eastAsia" w:ascii="宋体" w:hAnsi="宋体"/>
          <w:b/>
          <w:bCs w:val="0"/>
          <w:color w:val="000000"/>
          <w:szCs w:val="21"/>
        </w:rPr>
        <w:t>2.2配套措施落实情况</w:t>
      </w:r>
    </w:p>
    <w:p>
      <w:pPr>
        <w:pStyle w:val="7"/>
        <w:rPr>
          <w:rFonts w:ascii="宋体" w:hAnsi="宋体"/>
          <w:color w:val="000000"/>
          <w:szCs w:val="21"/>
        </w:rPr>
      </w:pPr>
      <w:r>
        <w:rPr>
          <w:rFonts w:hint="eastAsia" w:ascii="宋体" w:hAnsi="宋体"/>
          <w:color w:val="000000"/>
          <w:szCs w:val="21"/>
        </w:rPr>
        <w:t xml:space="preserve">  （1）卫生防护距离</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本项目现有卫生防护距离范围符合环评及审批意见规定的要求。</w:t>
      </w:r>
    </w:p>
    <w:p>
      <w:pPr>
        <w:pStyle w:val="7"/>
        <w:rPr>
          <w:rFonts w:ascii="宋体" w:hAnsi="宋体"/>
          <w:b/>
          <w:bCs w:val="0"/>
          <w:color w:val="000000"/>
          <w:szCs w:val="21"/>
        </w:rPr>
      </w:pPr>
      <w:r>
        <w:rPr>
          <w:rFonts w:hint="eastAsia" w:ascii="宋体" w:hAnsi="宋体"/>
          <w:b/>
          <w:bCs w:val="0"/>
          <w:color w:val="000000"/>
          <w:szCs w:val="21"/>
        </w:rPr>
        <w:t>3整改工作情况</w:t>
      </w:r>
    </w:p>
    <w:p>
      <w:pPr>
        <w:pStyle w:val="7"/>
        <w:rPr>
          <w:rFonts w:ascii="宋体" w:hAnsi="宋体"/>
          <w:b/>
          <w:bCs w:val="0"/>
          <w:color w:val="000000"/>
          <w:szCs w:val="21"/>
        </w:rPr>
      </w:pPr>
      <w:r>
        <w:rPr>
          <w:rFonts w:hint="eastAsia" w:ascii="宋体" w:hAnsi="宋体"/>
          <w:b/>
          <w:bCs w:val="0"/>
          <w:color w:val="000000"/>
          <w:szCs w:val="21"/>
        </w:rPr>
        <w:t>3.1环保设施整改</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（1）定期清理生活污水化粪池及其接管管路。</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（2）规范各排污口和环保标识牌的设置。</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（3）厂区物料规范有序堆放。</w:t>
      </w:r>
    </w:p>
    <w:p>
      <w:pPr>
        <w:pStyle w:val="15"/>
        <w:spacing w:before="0" w:beforeAutospacing="0" w:after="0" w:afterAutospacing="0" w:line="360" w:lineRule="exact"/>
        <w:ind w:firstLine="210" w:firstLineChars="100"/>
        <w:jc w:val="both"/>
        <w:outlineLvl w:val="0"/>
        <w:rPr>
          <w:color w:val="000000"/>
          <w:sz w:val="21"/>
          <w:szCs w:val="21"/>
        </w:rPr>
      </w:pPr>
    </w:p>
    <w:p>
      <w:pPr>
        <w:spacing w:line="220" w:lineRule="atLeast"/>
      </w:pPr>
    </w:p>
    <w:p>
      <w:pPr>
        <w:spacing w:line="220" w:lineRule="atLeast"/>
      </w:pPr>
    </w:p>
    <w:p>
      <w:pPr>
        <w:spacing w:line="220" w:lineRule="atLeast"/>
      </w:pPr>
    </w:p>
    <w:p>
      <w:pPr>
        <w:spacing w:line="220" w:lineRule="atLeast"/>
        <w:jc w:val="right"/>
        <w:rPr>
          <w:rFonts w:hAnsi="宋体" w:eastAsia="宋体"/>
          <w:color w:val="000000"/>
          <w:sz w:val="21"/>
          <w:szCs w:val="21"/>
        </w:rPr>
      </w:pPr>
    </w:p>
    <w:p>
      <w:pPr>
        <w:spacing w:line="220" w:lineRule="atLeast"/>
        <w:jc w:val="right"/>
        <w:rPr>
          <w:rFonts w:hint="eastAsia" w:ascii="宋体" w:hAnsi="宋体" w:eastAsia="宋体" w:cs="宋体"/>
          <w:color w:val="000000"/>
          <w:sz w:val="21"/>
          <w:szCs w:val="21"/>
          <w:lang w:eastAsia="zh-CN"/>
        </w:rPr>
      </w:pPr>
      <w:r>
        <w:rPr>
          <w:rFonts w:hint="eastAsia" w:ascii="Times New Roman" w:hAnsi="Times New Roman" w:eastAsia="宋体"/>
          <w:color w:val="000000"/>
          <w:sz w:val="21"/>
          <w:szCs w:val="21"/>
          <w:lang w:eastAsia="zh-CN"/>
        </w:rPr>
        <w:t>无锡市玉祁五金锻压厂</w:t>
      </w:r>
    </w:p>
    <w:p>
      <w:pPr>
        <w:spacing w:line="220" w:lineRule="atLeast"/>
        <w:jc w:val="right"/>
        <w:rPr>
          <w:rFonts w:ascii="宋体" w:hAnsi="宋体" w:eastAsia="宋体" w:cs="宋体"/>
          <w:color w:val="000000"/>
          <w:sz w:val="21"/>
          <w:szCs w:val="21"/>
        </w:rPr>
      </w:pPr>
      <w:r>
        <w:rPr>
          <w:rFonts w:hint="eastAsia" w:ascii="宋体" w:hAnsi="宋体" w:eastAsia="宋体" w:cs="宋体"/>
          <w:color w:val="000000"/>
          <w:sz w:val="21"/>
          <w:szCs w:val="21"/>
        </w:rPr>
        <w:t>20</w:t>
      </w:r>
      <w:r>
        <w:rPr>
          <w:rFonts w:hint="eastAsia" w:ascii="宋体" w:hAnsi="宋体" w:eastAsia="宋体" w:cs="宋体"/>
          <w:color w:val="000000"/>
          <w:sz w:val="21"/>
          <w:szCs w:val="21"/>
          <w:lang w:val="en-US" w:eastAsia="zh-CN"/>
        </w:rPr>
        <w:t>22</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18</w:t>
      </w:r>
      <w:bookmarkStart w:id="0" w:name="_GoBack"/>
      <w:bookmarkEnd w:id="0"/>
      <w:r>
        <w:rPr>
          <w:rFonts w:hint="eastAsia" w:ascii="宋体" w:hAnsi="宋体" w:eastAsia="宋体" w:cs="宋体"/>
          <w:color w:val="000000"/>
          <w:sz w:val="21"/>
          <w:szCs w:val="21"/>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F3819"/>
    <w:multiLevelType w:val="singleLevel"/>
    <w:tmpl w:val="93CF3819"/>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NWQzYzRkMzcxMGFlMGE0MWJjZjY2NjQ0MzEwMzQifQ=="/>
  </w:docVars>
  <w:rsids>
    <w:rsidRoot w:val="00D31D50"/>
    <w:rsid w:val="00031E10"/>
    <w:rsid w:val="00052773"/>
    <w:rsid w:val="00065909"/>
    <w:rsid w:val="000B6086"/>
    <w:rsid w:val="000C2350"/>
    <w:rsid w:val="000D5D65"/>
    <w:rsid w:val="00104615"/>
    <w:rsid w:val="0011022F"/>
    <w:rsid w:val="001219D5"/>
    <w:rsid w:val="00124F17"/>
    <w:rsid w:val="00145393"/>
    <w:rsid w:val="00174A6B"/>
    <w:rsid w:val="001956DD"/>
    <w:rsid w:val="00195C04"/>
    <w:rsid w:val="001B21EA"/>
    <w:rsid w:val="001B4C39"/>
    <w:rsid w:val="001C19FA"/>
    <w:rsid w:val="001E1307"/>
    <w:rsid w:val="00203CBF"/>
    <w:rsid w:val="0026051C"/>
    <w:rsid w:val="00284FC2"/>
    <w:rsid w:val="002D3FC9"/>
    <w:rsid w:val="002D5D39"/>
    <w:rsid w:val="002E54AB"/>
    <w:rsid w:val="0030552E"/>
    <w:rsid w:val="00323B43"/>
    <w:rsid w:val="0032436D"/>
    <w:rsid w:val="003243AF"/>
    <w:rsid w:val="003444B6"/>
    <w:rsid w:val="00375ED0"/>
    <w:rsid w:val="003A78D1"/>
    <w:rsid w:val="003D37D8"/>
    <w:rsid w:val="0041166B"/>
    <w:rsid w:val="004136C6"/>
    <w:rsid w:val="00426133"/>
    <w:rsid w:val="004358AB"/>
    <w:rsid w:val="00453680"/>
    <w:rsid w:val="004959EB"/>
    <w:rsid w:val="00496601"/>
    <w:rsid w:val="004B50D3"/>
    <w:rsid w:val="004F0C86"/>
    <w:rsid w:val="00505A4D"/>
    <w:rsid w:val="00515472"/>
    <w:rsid w:val="00515717"/>
    <w:rsid w:val="00516FB5"/>
    <w:rsid w:val="00524FC1"/>
    <w:rsid w:val="0057485C"/>
    <w:rsid w:val="005A31FA"/>
    <w:rsid w:val="005A3721"/>
    <w:rsid w:val="005D2D1A"/>
    <w:rsid w:val="005F1556"/>
    <w:rsid w:val="006B4EA4"/>
    <w:rsid w:val="006B5603"/>
    <w:rsid w:val="006F205D"/>
    <w:rsid w:val="00700198"/>
    <w:rsid w:val="00711BAE"/>
    <w:rsid w:val="00754EBA"/>
    <w:rsid w:val="007729E9"/>
    <w:rsid w:val="007A28D9"/>
    <w:rsid w:val="007A67F0"/>
    <w:rsid w:val="007A6E40"/>
    <w:rsid w:val="007C168E"/>
    <w:rsid w:val="007D2024"/>
    <w:rsid w:val="007F2FFE"/>
    <w:rsid w:val="00805F56"/>
    <w:rsid w:val="00811A8D"/>
    <w:rsid w:val="0081215D"/>
    <w:rsid w:val="00836B59"/>
    <w:rsid w:val="008400C2"/>
    <w:rsid w:val="00847C62"/>
    <w:rsid w:val="008554E7"/>
    <w:rsid w:val="00862FD7"/>
    <w:rsid w:val="00863D5C"/>
    <w:rsid w:val="00876520"/>
    <w:rsid w:val="00876F25"/>
    <w:rsid w:val="00882294"/>
    <w:rsid w:val="008B17B2"/>
    <w:rsid w:val="008B7726"/>
    <w:rsid w:val="008B7ADC"/>
    <w:rsid w:val="008D0CBC"/>
    <w:rsid w:val="009215DE"/>
    <w:rsid w:val="00924315"/>
    <w:rsid w:val="00933CDC"/>
    <w:rsid w:val="00935098"/>
    <w:rsid w:val="00937540"/>
    <w:rsid w:val="009828DB"/>
    <w:rsid w:val="00A025F6"/>
    <w:rsid w:val="00A13676"/>
    <w:rsid w:val="00A2172F"/>
    <w:rsid w:val="00A535C2"/>
    <w:rsid w:val="00A675EA"/>
    <w:rsid w:val="00A75EA4"/>
    <w:rsid w:val="00A76E5B"/>
    <w:rsid w:val="00A82AC6"/>
    <w:rsid w:val="00AF0562"/>
    <w:rsid w:val="00B31CAE"/>
    <w:rsid w:val="00B37B69"/>
    <w:rsid w:val="00B53F91"/>
    <w:rsid w:val="00B55C10"/>
    <w:rsid w:val="00B6221D"/>
    <w:rsid w:val="00B76DD3"/>
    <w:rsid w:val="00BB2D6D"/>
    <w:rsid w:val="00BC5B79"/>
    <w:rsid w:val="00BD2A9E"/>
    <w:rsid w:val="00C57A8A"/>
    <w:rsid w:val="00C71B59"/>
    <w:rsid w:val="00C738C0"/>
    <w:rsid w:val="00C73CE2"/>
    <w:rsid w:val="00C813D9"/>
    <w:rsid w:val="00CB1696"/>
    <w:rsid w:val="00D03E3D"/>
    <w:rsid w:val="00D31D50"/>
    <w:rsid w:val="00D60B2B"/>
    <w:rsid w:val="00D9604E"/>
    <w:rsid w:val="00DB6099"/>
    <w:rsid w:val="00DE6070"/>
    <w:rsid w:val="00DF380D"/>
    <w:rsid w:val="00E338C6"/>
    <w:rsid w:val="00E61636"/>
    <w:rsid w:val="00E64ED4"/>
    <w:rsid w:val="00E746BC"/>
    <w:rsid w:val="00E75A5C"/>
    <w:rsid w:val="00E80A41"/>
    <w:rsid w:val="00EB7CD7"/>
    <w:rsid w:val="00EE2F5B"/>
    <w:rsid w:val="00F00906"/>
    <w:rsid w:val="00F056DF"/>
    <w:rsid w:val="00F2652C"/>
    <w:rsid w:val="00F53425"/>
    <w:rsid w:val="00F8675F"/>
    <w:rsid w:val="00F96201"/>
    <w:rsid w:val="00FA4939"/>
    <w:rsid w:val="00FA76B5"/>
    <w:rsid w:val="00FC584F"/>
    <w:rsid w:val="00FC7423"/>
    <w:rsid w:val="00FE5D71"/>
    <w:rsid w:val="05EE6933"/>
    <w:rsid w:val="090C07EC"/>
    <w:rsid w:val="13D86C4A"/>
    <w:rsid w:val="1EDC6270"/>
    <w:rsid w:val="21FE0433"/>
    <w:rsid w:val="2A9116F0"/>
    <w:rsid w:val="2BF92AF5"/>
    <w:rsid w:val="3B8D206C"/>
    <w:rsid w:val="49F43183"/>
    <w:rsid w:val="50970005"/>
    <w:rsid w:val="58FE35BD"/>
    <w:rsid w:val="59E25323"/>
    <w:rsid w:val="5A087B80"/>
    <w:rsid w:val="5A7D510B"/>
    <w:rsid w:val="622E12C4"/>
    <w:rsid w:val="654872B0"/>
    <w:rsid w:val="72AD3037"/>
    <w:rsid w:val="739A0AC8"/>
    <w:rsid w:val="7C4E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7">
    <w:name w:val="heading 2"/>
    <w:basedOn w:val="1"/>
    <w:next w:val="1"/>
    <w:link w:val="14"/>
    <w:qFormat/>
    <w:uiPriority w:val="0"/>
    <w:pPr>
      <w:keepNext/>
      <w:keepLines/>
      <w:widowControl w:val="0"/>
      <w:adjustRightInd/>
      <w:snapToGrid/>
      <w:spacing w:after="0" w:line="360" w:lineRule="exact"/>
      <w:jc w:val="both"/>
      <w:outlineLvl w:val="1"/>
    </w:pPr>
    <w:rPr>
      <w:rFonts w:ascii="Times New Roman" w:hAnsi="Times New Roman" w:eastAsia="宋体" w:cs="Times New Roman"/>
      <w:bCs/>
      <w:kern w:val="2"/>
      <w:sz w:val="21"/>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tabs>
        <w:tab w:val="left" w:pos="420"/>
        <w:tab w:val="left" w:pos="870"/>
        <w:tab w:val="left" w:pos="3150"/>
      </w:tabs>
      <w:autoSpaceDE w:val="0"/>
      <w:autoSpaceDN w:val="0"/>
      <w:spacing w:before="78" w:beforeLines="25" w:line="336" w:lineRule="auto"/>
      <w:ind w:firstLine="527" w:firstLineChars="0"/>
    </w:pPr>
    <w:rPr>
      <w:rFonts w:ascii="宋体"/>
      <w:szCs w:val="28"/>
    </w:rPr>
  </w:style>
  <w:style w:type="paragraph" w:styleId="3">
    <w:name w:val="Body Text Indent"/>
    <w:basedOn w:val="1"/>
    <w:next w:val="1"/>
    <w:qFormat/>
    <w:uiPriority w:val="0"/>
    <w:pPr>
      <w:ind w:left="714" w:leftChars="340" w:firstLine="148" w:firstLineChars="100"/>
    </w:pPr>
    <w:rPr>
      <w:spacing w:val="-16"/>
      <w:sz w:val="18"/>
    </w:rPr>
  </w:style>
  <w:style w:type="paragraph" w:styleId="4">
    <w:name w:val="Body Text First Indent"/>
    <w:basedOn w:val="5"/>
    <w:next w:val="1"/>
    <w:unhideWhenUsed/>
    <w:qFormat/>
    <w:uiPriority w:val="99"/>
    <w:pPr>
      <w:ind w:firstLine="420" w:firstLineChars="100"/>
    </w:pPr>
  </w:style>
  <w:style w:type="paragraph" w:styleId="5">
    <w:name w:val="Body Text"/>
    <w:basedOn w:val="1"/>
    <w:next w:val="6"/>
    <w:qFormat/>
    <w:uiPriority w:val="0"/>
    <w:rPr>
      <w:sz w:val="18"/>
    </w:rPr>
  </w:style>
  <w:style w:type="paragraph" w:styleId="6">
    <w:name w:val="List Bullet 5"/>
    <w:basedOn w:val="1"/>
    <w:semiHidden/>
    <w:unhideWhenUsed/>
    <w:qFormat/>
    <w:uiPriority w:val="99"/>
    <w:pPr>
      <w:numPr>
        <w:ilvl w:val="0"/>
        <w:numId w:val="1"/>
      </w:numPr>
    </w:pPr>
  </w:style>
  <w:style w:type="paragraph" w:styleId="8">
    <w:name w:val="footer"/>
    <w:basedOn w:val="1"/>
    <w:link w:val="13"/>
    <w:semiHidden/>
    <w:unhideWhenUsed/>
    <w:qFormat/>
    <w:uiPriority w:val="99"/>
    <w:pPr>
      <w:tabs>
        <w:tab w:val="center" w:pos="4153"/>
        <w:tab w:val="right" w:pos="8306"/>
      </w:tabs>
    </w:pPr>
    <w:rPr>
      <w:sz w:val="18"/>
      <w:szCs w:val="18"/>
    </w:rPr>
  </w:style>
  <w:style w:type="paragraph" w:styleId="9">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Char"/>
    <w:basedOn w:val="11"/>
    <w:link w:val="9"/>
    <w:semiHidden/>
    <w:qFormat/>
    <w:uiPriority w:val="99"/>
    <w:rPr>
      <w:rFonts w:ascii="Tahoma" w:hAnsi="Tahoma"/>
      <w:sz w:val="18"/>
      <w:szCs w:val="18"/>
    </w:rPr>
  </w:style>
  <w:style w:type="character" w:customStyle="1" w:styleId="13">
    <w:name w:val="页脚 Char"/>
    <w:basedOn w:val="11"/>
    <w:link w:val="8"/>
    <w:semiHidden/>
    <w:qFormat/>
    <w:uiPriority w:val="99"/>
    <w:rPr>
      <w:rFonts w:ascii="Tahoma" w:hAnsi="Tahoma"/>
      <w:sz w:val="18"/>
      <w:szCs w:val="18"/>
    </w:rPr>
  </w:style>
  <w:style w:type="character" w:customStyle="1" w:styleId="14">
    <w:name w:val="标题 2 Char"/>
    <w:basedOn w:val="11"/>
    <w:link w:val="7"/>
    <w:qFormat/>
    <w:uiPriority w:val="0"/>
    <w:rPr>
      <w:rFonts w:ascii="Times New Roman" w:hAnsi="Times New Roman" w:eastAsia="宋体" w:cs="Times New Roman"/>
      <w:bCs/>
      <w:kern w:val="2"/>
      <w:sz w:val="21"/>
      <w:szCs w:val="32"/>
    </w:rPr>
  </w:style>
  <w:style w:type="paragraph" w:customStyle="1" w:styleId="15">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1253</Words>
  <Characters>1284</Characters>
  <Lines>8</Lines>
  <Paragraphs>2</Paragraphs>
  <TotalTime>1</TotalTime>
  <ScaleCrop>false</ScaleCrop>
  <LinksUpToDate>false</LinksUpToDate>
  <CharactersWithSpaces>1291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dcterms:modified xsi:type="dcterms:W3CDTF">2022-05-26T11:57:09Z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7EC8B3C38FAB4C2893162FD45353F172</vt:lpwstr>
  </property>
</Properties>
</file>